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6"/>
        </w:rPr>
        <w:t>STOCK INWARD PROCESS APPLICATION</w:t>
      </w:r>
    </w:p>
    <w:p>
      <w:pPr>
        <w:jc w:val="center"/>
      </w:pPr>
      <w:r>
        <w:rPr>
          <w:b/>
          <w:sz w:val="26"/>
        </w:rPr>
        <w:t>SYSTEM ARCHITECTURE &amp; BUSINESS REQUIREMENTS - SOURCE OF TRUTH</w:t>
      </w:r>
    </w:p>
    <w:p>
      <w:pPr>
        <w:jc w:val="center"/>
      </w:pPr>
      <w:r>
        <w:rPr>
          <w:sz w:val="21"/>
        </w:rPr>
        <w:t>Python + Django | Coimbatore Depot 035 · operated by RAINBOW LOGISTICS (CFA) | Version 1.6 - Draft for approval | 16 October 2026</w:t>
      </w:r>
    </w:p>
    <w:tbl>
      <w:tblPr>
        <w:tblStyle w:val="TableGrid"/>
        <w:tblW w:type="auto" w:w="0"/>
        <w:tblLook w:firstColumn="1" w:firstRow="1" w:lastColumn="0" w:lastRow="0" w:noHBand="0" w:noVBand="1" w:val="04A0"/>
      </w:tblPr>
      <w:tblGrid>
        <w:gridCol w:w="9412"/>
      </w:tblGrid>
      <w:tr>
        <w:tc>
          <w:tcPr>
            <w:tcW w:type="dxa" w:w="9412"/>
            <w:shd w:val="clear" w:color="auto" w:fill="FFF4E5"/>
          </w:tcPr>
          <w:p>
            <w:r>
              <w:t>STATUS: DRAFT v1.6 FOR APPROVAL. On approval it supersedes v1.5 and becomes the locked baseline. v1.6 = v1.5 plus the decisions taken during the Phase 0 / Phase 1 build (15-16 Oct-2026): SIT fetched by a button (no schedule), the real SIT mail subject and format, native server install with DNS in Cloudflare, outbound tick-and-tally with three row sources, clerk-chosen warehouse for vendor challans, and the SKU packaging master rules. Coding agents must not silently change business rules, workflow gates, reconciliation logic, document requirements or notification routing; any ambiguity is raised as a decision point.</w:t>
            </w:r>
          </w:p>
        </w:tc>
      </w:tr>
    </w:tbl>
    <w:p>
      <w:pPr>
        <w:spacing w:after="40"/>
      </w:pPr>
    </w:p>
    <w:p>
      <w:pPr>
        <w:pStyle w:val="Heading1"/>
      </w:pPr>
      <w:r>
        <w:t>1. Purpose and Governing Principles</w:t>
      </w:r>
    </w:p>
    <w:p>
      <w:pPr>
        <w:pStyle w:val="ListBullet"/>
        <w:spacing w:after="40"/>
      </w:pPr>
      <w:r>
        <w:t>This specification defines a new multi-user Python web application (Django web application) for the Stock Inward Process of Coimbatore Depot 035. The application starts fresh: no data from any earlier tool is imported, referenced or reconciled.</w:t>
      </w:r>
    </w:p>
    <w:p>
      <w:pPr>
        <w:pStyle w:val="ListBullet"/>
        <w:spacing w:after="40"/>
      </w:pPr>
      <w:r>
        <w:t>Deployment: a Linux VPS (Hostinger KVM 2, Ubuntu 24.04 LTS) on the internet, reached only over HTTPS at inward.rainbowlogistics.co.in (UAT: uat.inward.rainbowlogistics.co.in). Users work from any browser on PC, tablet or phone. The depot therefore needs a reliable internet connection plus a backup (e.g. mobile hotspot). The design stays portable: another VPS or cloud provider needs configuration only, not redesign.</w:t>
      </w:r>
    </w:p>
    <w:p>
      <w:pPr>
        <w:pStyle w:val="ListBullet"/>
        <w:spacing w:after="40"/>
      </w:pPr>
      <w:r>
        <w:t>Each depot is operated by a dedicated CFA (Carrying and Forwarding Agent). Coimbatore Depot 035 is operated by RAINBOW LOGISTICS. The operating CFA is held in the Depot master (never hard-coded) and printed on every depot document under the depot code.</w:t>
      </w:r>
    </w:p>
    <w:p>
      <w:pPr>
        <w:pStyle w:val="ListBullet"/>
        <w:spacing w:after="40"/>
      </w:pPr>
      <w:r>
        <w:t>Primary transaction reference: IW number, FY-wide sequence, format IW-2627-000001, starting at 000001.</w:t>
      </w:r>
    </w:p>
    <w:p>
      <w:pPr>
        <w:pStyle w:val="ListBullet"/>
        <w:spacing w:after="40"/>
      </w:pPr>
      <w:r>
        <w:t>Ship ID is Berger's operational term for Delivery ID and is the core reference for normal company stock movements.</w:t>
      </w:r>
    </w:p>
    <w:p>
      <w:pPr>
        <w:pStyle w:val="ListBullet"/>
        <w:spacing w:after="40"/>
      </w:pPr>
      <w:r>
        <w:t>Oracle ERP and its IRR (Issue/Receipt Register) report are the authoritative evidence for final stock receipt and SED transaction reconciliation. Clerk entries alone never prove ERP completion.</w:t>
      </w:r>
    </w:p>
    <w:p>
      <w:pPr>
        <w:pStyle w:val="ListBullet"/>
        <w:spacing w:after="40"/>
      </w:pPr>
      <w:r>
        <w:t>Outbound transhipment, Colour Bank and Non-Stock items participate through physical receipt/MRA only and end after MRA.</w:t>
      </w:r>
    </w:p>
    <w:p>
      <w:pPr>
        <w:pStyle w:val="ListBullet"/>
        <w:spacing w:after="40"/>
      </w:pPr>
      <w:r>
        <w:t>All mandatory workflow gates are hard controls. Users may save drafts and exit, but cannot advance while a gate is unsatisfied.</w:t>
      </w:r>
    </w:p>
    <w:p>
      <w:pPr>
        <w:pStyle w:val="ListBullet"/>
        <w:spacing w:after="40"/>
      </w:pPr>
      <w:r>
        <w:t>Historical transactions snapshot master/configuration values; later master changes never rewrite history.</w:t>
      </w:r>
    </w:p>
    <w:p>
      <w:pPr>
        <w:pStyle w:val="ListBullet"/>
        <w:spacing w:after="40"/>
      </w:pPr>
      <w:r>
        <w:t>Auditability, fast retrieval, immutable evidence, concurrency safety and cloud readiness are first-class requirements.</w:t>
      </w:r>
    </w:p>
    <w:p>
      <w:pPr>
        <w:pStyle w:val="Heading1"/>
      </w:pPr>
      <w:r>
        <w:t>2. End-to-End Lifecycle</w:t>
      </w:r>
    </w:p>
    <w:p>
      <w:pPr>
        <w:pStyle w:val="ListNumber"/>
        <w:spacing w:after="40"/>
      </w:pPr>
      <w:r>
        <w:t>SIT acquisition/import and change monitoring.</w:t>
      </w:r>
    </w:p>
    <w:p>
      <w:pPr>
        <w:pStyle w:val="ListNumber"/>
        <w:spacing w:after="40"/>
      </w:pPr>
      <w:r>
        <w:t>IW vehicle/consignment creation.</w:t>
      </w:r>
    </w:p>
    <w:p>
      <w:pPr>
        <w:pStyle w:val="ListNumber"/>
        <w:spacing w:after="40"/>
      </w:pPr>
      <w:r>
        <w:t>Link inbound Ship IDs, outbound Ship IDs with Despatch report rows, vendor challans, Colour Bank and Non-Stock items.</w:t>
      </w:r>
    </w:p>
    <w:p>
      <w:pPr>
        <w:pStyle w:val="ListNumber"/>
        <w:spacing w:after="40"/>
      </w:pPr>
      <w:r>
        <w:t>Prepare package-wise unloading checklist; physically verify; record Short/Excess/Damage (SED).</w:t>
      </w:r>
    </w:p>
    <w:p>
      <w:pPr>
        <w:pStyle w:val="ListNumber"/>
        <w:spacing w:after="40"/>
      </w:pPr>
      <w:r>
        <w:t>Record unloading charge and payment or transporter ledger position.</w:t>
      </w:r>
    </w:p>
    <w:p>
      <w:pPr>
        <w:pStyle w:val="ListNumber"/>
        <w:spacing w:after="40"/>
      </w:pPr>
      <w:r>
        <w:t>Generate the Materials Receipt Acknowledgment (MRA) and applicable SED memos; send mandatory communications.</w:t>
      </w:r>
    </w:p>
    <w:p>
      <w:pPr>
        <w:pStyle w:val="ListNumber"/>
        <w:spacing w:after="40"/>
      </w:pPr>
      <w:r>
        <w:t>Process normal inward and SED entries in Oracle; capture Stock Receipt / PO Receipt / TRX numbers and LSCRR status.</w:t>
      </w:r>
    </w:p>
    <w:p>
      <w:pPr>
        <w:pStyle w:val="ListNumber"/>
        <w:spacing w:after="40"/>
      </w:pPr>
      <w:r>
        <w:t>Import IRR; reconcile normal receipts, excess receipts, vendor PO receipts and SED transactions.</w:t>
      </w:r>
    </w:p>
    <w:p>
      <w:pPr>
        <w:pStyle w:val="ListNumber"/>
        <w:spacing w:after="40"/>
      </w:pPr>
      <w:r>
        <w:t>Upload signed MRA and transporter LR; generate the final IRR Reconciliation Report.</w:t>
      </w:r>
    </w:p>
    <w:p>
      <w:pPr>
        <w:pStyle w:val="ListNumber"/>
        <w:spacing w:after="40"/>
      </w:pPr>
      <w:r>
        <w:t>Run closure gates; close and freeze the IW; retain the complete digital dossier and audit trail.</w:t>
      </w:r>
    </w:p>
    <w:p>
      <w:pPr>
        <w:pStyle w:val="ListNumber"/>
        <w:spacing w:after="40"/>
      </w:pPr>
      <w:r>
        <w:t>Use the Operations Dashboard, Search/Audit, Reports/MIS and Administration for ongoing control.</w:t>
      </w:r>
    </w:p>
    <w:p>
      <w:pPr>
        <w:pStyle w:val="Heading1"/>
      </w:pPr>
      <w:r>
        <w:t>3. Screen 01 - SIT Import &amp; Monitoring</w:t>
      </w:r>
    </w:p>
    <w:p>
      <w:pPr>
        <w:pStyle w:val="Heading2"/>
      </w:pPr>
      <w:r>
        <w:t>3.1 Acquisition</w:t>
      </w:r>
    </w:p>
    <w:tbl>
      <w:tblPr>
        <w:tblStyle w:val="TableGrid"/>
        <w:tblW w:type="auto" w:w="0"/>
        <w:jc w:val="center"/>
        <w:tblLook w:firstColumn="1" w:firstRow="1" w:lastColumn="0" w:lastRow="0" w:noHBand="0" w:noVBand="1" w:val="04A0"/>
      </w:tblPr>
      <w:tblGrid>
        <w:gridCol w:w="4706"/>
        <w:gridCol w:w="4706"/>
      </w:tblGrid>
      <w:tr>
        <w:tc>
          <w:tcPr>
            <w:tcW w:type="dxa" w:w="2154"/>
            <w:shd w:val="clear" w:color="auto" w:fill="1F3A5F"/>
          </w:tcPr>
          <w:p>
            <w:r/>
            <w:r>
              <w:rPr>
                <w:b/>
                <w:color w:val="FFFFFF"/>
                <w:sz w:val="19"/>
              </w:rPr>
              <w:t>Requirement</w:t>
            </w:r>
          </w:p>
        </w:tc>
        <w:tc>
          <w:tcPr>
            <w:tcW w:type="dxa" w:w="7257"/>
            <w:shd w:val="clear" w:color="auto" w:fill="1F3A5F"/>
          </w:tcPr>
          <w:p>
            <w:r/>
            <w:r>
              <w:rPr>
                <w:b/>
                <w:color w:val="FFFFFF"/>
                <w:sz w:val="19"/>
              </w:rPr>
              <w:t>Locked Rule</w:t>
            </w:r>
          </w:p>
        </w:tc>
      </w:tr>
      <w:tr>
        <w:tc>
          <w:tcPr>
            <w:tcW w:type="dxa" w:w="2154"/>
          </w:tcPr>
          <w:p>
            <w:r>
              <w:t>Fetch from Gmail (button)</w:t>
            </w:r>
          </w:p>
        </w:tc>
        <w:tc>
          <w:tcPr>
            <w:tcW w:type="dxa" w:w="7257"/>
          </w:tcPr>
          <w:p>
            <w:r>
              <w:t>No scheduled or automatic fetch (business owner's decision, 15-Oct-2026). The clerk presses 'Fetch from Gmail'; the app reads the dedicated Gmail account over IMAP for SIT e-mails whose subject contains 'BPIL Depot Stock In Transit Report' (the real mail arrives as 'FW: CBPPROD1 : BPIL Depot Stock In Transit Report : 035-COMPUTER', forwarded from the depot mailbox) and imports any not yet imported.</w:t>
            </w:r>
          </w:p>
        </w:tc>
      </w:tr>
      <w:tr>
        <w:tc>
          <w:tcPr>
            <w:tcW w:type="dxa" w:w="2154"/>
          </w:tcPr>
          <w:p>
            <w:r>
              <w:t>File format</w:t>
            </w:r>
          </w:p>
        </w:tc>
        <w:tc>
          <w:tcPr>
            <w:tcW w:type="dxa" w:w="7257"/>
          </w:tcPr>
          <w:p>
            <w:r>
              <w:t>The Oracle '.xls' attachment is really an HTML table (BI Publisher). The importer detects the format by content: HTML, .xls and .xlsx are all accepted.</w:t>
            </w:r>
          </w:p>
        </w:tc>
      </w:tr>
      <w:tr>
        <w:tc>
          <w:tcPr>
            <w:tcW w:type="dxa" w:w="2154"/>
          </w:tcPr>
          <w:p>
            <w:r/>
            <w:r>
              <w:rPr>
                <w:sz w:val="19"/>
              </w:rPr>
              <w:t>Manual upload</w:t>
            </w:r>
          </w:p>
        </w:tc>
        <w:tc>
          <w:tcPr>
            <w:tcW w:type="dxa" w:w="7257"/>
          </w:tcPr>
          <w:p>
            <w:r/>
            <w:r>
              <w:rPr>
                <w:sz w:val="19"/>
              </w:rPr>
              <w:t>Clerk may upload .xls or .xlsx.</w:t>
            </w:r>
          </w:p>
        </w:tc>
      </w:tr>
      <w:tr>
        <w:tc>
          <w:tcPr>
            <w:tcW w:type="dxa" w:w="2154"/>
          </w:tcPr>
          <w:p>
            <w:r/>
            <w:r>
              <w:rPr>
                <w:sz w:val="19"/>
              </w:rPr>
              <w:t>Already imported</w:t>
            </w:r>
          </w:p>
        </w:tc>
        <w:tc>
          <w:tcPr>
            <w:tcW w:type="dxa" w:w="7257"/>
          </w:tcPr>
          <w:p>
            <w:r/>
            <w:r>
              <w:rPr>
                <w:sz w:val="19"/>
              </w:rPr>
              <w:t>Detected by Internet Message-ID and file SHA-256; reported clearly as 'Already imported'; never duplicated.</w:t>
            </w:r>
          </w:p>
        </w:tc>
      </w:tr>
      <w:tr>
        <w:tc>
          <w:tcPr>
            <w:tcW w:type="dxa" w:w="2154"/>
          </w:tcPr>
          <w:p>
            <w:r/>
            <w:r>
              <w:rPr>
                <w:sz w:val="19"/>
              </w:rPr>
              <w:t>Persistence</w:t>
            </w:r>
          </w:p>
        </w:tc>
        <w:tc>
          <w:tcPr>
            <w:tcW w:type="dxa" w:w="7257"/>
          </w:tcPr>
          <w:p>
            <w:r/>
            <w:r>
              <w:rPr>
                <w:sz w:val="19"/>
              </w:rPr>
              <w:t>Import batches and normalised SIT snapshots are stored; the source Excel is kept as evidence but never needed after import.</w:t>
            </w:r>
          </w:p>
        </w:tc>
      </w:tr>
      <w:tr>
        <w:tc>
          <w:tcPr>
            <w:tcW w:type="dxa" w:w="2154"/>
          </w:tcPr>
          <w:p>
            <w:r/>
            <w:r>
              <w:rPr>
                <w:sz w:val="19"/>
              </w:rPr>
              <w:t>Source truth</w:t>
            </w:r>
          </w:p>
        </w:tc>
        <w:tc>
          <w:tcPr>
            <w:tcW w:type="dxa" w:w="7257"/>
          </w:tcPr>
          <w:p>
            <w:r/>
            <w:r>
              <w:rPr>
                <w:sz w:val="19"/>
              </w:rPr>
              <w:t>SIT shows the original Factory/RDC origin even when material arrives via inbound transhipment.</w:t>
            </w:r>
          </w:p>
        </w:tc>
      </w:tr>
      <w:tr>
        <w:tc>
          <w:tcPr>
            <w:tcW w:type="dxa" w:w="2154"/>
          </w:tcPr>
          <w:p>
            <w:r/>
            <w:r>
              <w:rPr>
                <w:sz w:val="19"/>
              </w:rPr>
              <w:t>Unused columns</w:t>
            </w:r>
          </w:p>
        </w:tc>
        <w:tc>
          <w:tcPr>
            <w:tcW w:type="dxa" w:w="7257"/>
          </w:tcPr>
          <w:p>
            <w:r/>
            <w:r>
              <w:rPr>
                <w:sz w:val="19"/>
              </w:rPr>
              <w:t>SIT header has Receipt Num / Receipt Date / Quantity Received; they are never populated and are ignored.</w:t>
            </w:r>
          </w:p>
        </w:tc>
      </w:tr>
    </w:tbl>
    <w:p>
      <w:pPr>
        <w:spacing w:after="40"/>
      </w:pPr>
    </w:p>
    <w:p>
      <w:pPr>
        <w:pStyle w:val="Heading2"/>
      </w:pPr>
      <w:r>
        <w:t>3.2 SIT structure and units</w:t>
      </w:r>
    </w:p>
    <w:p>
      <w:pPr>
        <w:pStyle w:val="ListBullet"/>
        <w:spacing w:after="40"/>
      </w:pPr>
      <w:r>
        <w:t>Header row located by normalised names: From Org, To Org, Delivery Id (= Ship ID), Shipment Period, Shipment Date, Item Type, Item Code (16-character SKU), Item Desc, Item BL, Uom, Volume, Quantity Issued.</w:t>
      </w:r>
    </w:p>
    <w:p>
      <w:pPr>
        <w:pStyle w:val="ListBullet"/>
        <w:spacing w:after="40"/>
      </w:pPr>
      <w:r>
        <w:t>Item BL (business line) is kept on every row; it decides the warehouse on the unloading checklist (section 7.1).</w:t>
      </w:r>
    </w:p>
    <w:p>
      <w:pPr>
        <w:pStyle w:val="ListBullet"/>
        <w:spacing w:after="40"/>
      </w:pPr>
      <w:r>
        <w:t>Report window is read from the line 'From Date :: ... To Date :: ...'.</w:t>
      </w:r>
    </w:p>
    <w:p>
      <w:pPr>
        <w:pStyle w:val="ListBullet"/>
        <w:spacing w:after="40"/>
      </w:pPr>
      <w:r>
        <w:t>A Ship may have several rows of the same SKU; rows are aggregated by (Ship ID, SKU) before any comparison.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268"/>
            <w:shd w:val="clear" w:color="auto" w:fill="1F3A5F"/>
          </w:tcPr>
          <w:p>
            <w:r/>
            <w:r>
              <w:rPr>
                <w:b/>
                <w:color w:val="FFFFFF"/>
                <w:sz w:val="19"/>
              </w:rPr>
              <w:t>SIT UOM</w:t>
            </w:r>
          </w:p>
        </w:tc>
        <w:tc>
          <w:tcPr>
            <w:tcW w:type="dxa" w:w="2381"/>
            <w:shd w:val="clear" w:color="auto" w:fill="1F3A5F"/>
          </w:tcPr>
          <w:p>
            <w:r/>
            <w:r>
              <w:rPr>
                <w:b/>
                <w:color w:val="FFFFFF"/>
                <w:sz w:val="19"/>
              </w:rPr>
              <w:t>Meaning</w:t>
            </w:r>
          </w:p>
        </w:tc>
        <w:tc>
          <w:tcPr>
            <w:tcW w:type="dxa" w:w="1701"/>
            <w:shd w:val="clear" w:color="auto" w:fill="1F3A5F"/>
          </w:tcPr>
          <w:p>
            <w:r/>
            <w:r>
              <w:rPr>
                <w:b/>
                <w:color w:val="FFFFFF"/>
                <w:sz w:val="19"/>
              </w:rPr>
              <w:t>Measure family</w:t>
            </w:r>
          </w:p>
        </w:tc>
        <w:tc>
          <w:tcPr>
            <w:tcW w:type="dxa" w:w="3061"/>
            <w:shd w:val="clear" w:color="auto" w:fill="1F3A5F"/>
          </w:tcPr>
          <w:p>
            <w:r/>
            <w:r>
              <w:rPr>
                <w:b/>
                <w:color w:val="FFFFFF"/>
                <w:sz w:val="19"/>
              </w:rPr>
              <w:t>Rule</w:t>
            </w:r>
          </w:p>
        </w:tc>
      </w:tr>
      <w:tr>
        <w:tc>
          <w:tcPr>
            <w:tcW w:type="dxa" w:w="2268"/>
          </w:tcPr>
          <w:p>
            <w:r/>
            <w:r>
              <w:rPr>
                <w:sz w:val="19"/>
              </w:rPr>
              <w:t>L</w:t>
            </w:r>
          </w:p>
        </w:tc>
        <w:tc>
          <w:tcPr>
            <w:tcW w:type="dxa" w:w="2381"/>
          </w:tcPr>
          <w:p>
            <w:r/>
            <w:r>
              <w:rPr>
                <w:sz w:val="19"/>
              </w:rPr>
              <w:t>Litre</w:t>
            </w:r>
          </w:p>
        </w:tc>
        <w:tc>
          <w:tcPr>
            <w:tcW w:type="dxa" w:w="1701"/>
          </w:tcPr>
          <w:p>
            <w:r/>
            <w:r>
              <w:rPr>
                <w:sz w:val="19"/>
              </w:rPr>
              <w:t>Volume (LTR)</w:t>
            </w:r>
          </w:p>
        </w:tc>
        <w:tc>
          <w:tcPr>
            <w:tcW w:type="dxa" w:w="3061"/>
          </w:tcPr>
          <w:p>
            <w:r/>
            <w:r>
              <w:rPr>
                <w:sz w:val="19"/>
              </w:rPr>
              <w:t>Volume is the pack size in litres</w:t>
            </w:r>
          </w:p>
        </w:tc>
      </w:tr>
      <w:tr>
        <w:tc>
          <w:tcPr>
            <w:tcW w:type="dxa" w:w="2268"/>
          </w:tcPr>
          <w:p>
            <w:r/>
            <w:r>
              <w:rPr>
                <w:sz w:val="19"/>
              </w:rPr>
              <w:t>ML</w:t>
            </w:r>
          </w:p>
        </w:tc>
        <w:tc>
          <w:tcPr>
            <w:tcW w:type="dxa" w:w="2381"/>
          </w:tcPr>
          <w:p>
            <w:r/>
            <w:r>
              <w:rPr>
                <w:sz w:val="19"/>
              </w:rPr>
              <w:t>Millilitre-size pack</w:t>
            </w:r>
          </w:p>
        </w:tc>
        <w:tc>
          <w:tcPr>
            <w:tcW w:type="dxa" w:w="1701"/>
          </w:tcPr>
          <w:p>
            <w:r/>
            <w:r>
              <w:rPr>
                <w:sz w:val="19"/>
              </w:rPr>
              <w:t>Volume (LTR)</w:t>
            </w:r>
          </w:p>
        </w:tc>
        <w:tc>
          <w:tcPr>
            <w:tcW w:type="dxa" w:w="3061"/>
          </w:tcPr>
          <w:p>
            <w:r/>
            <w:r>
              <w:rPr>
                <w:sz w:val="19"/>
              </w:rPr>
              <w:t>Volume already written as litres fraction (0.2, 0.5, 0.75); no conversion</w:t>
            </w:r>
          </w:p>
        </w:tc>
      </w:tr>
      <w:tr>
        <w:tc>
          <w:tcPr>
            <w:tcW w:type="dxa" w:w="2268"/>
          </w:tcPr>
          <w:p>
            <w:r/>
            <w:r>
              <w:rPr>
                <w:sz w:val="19"/>
              </w:rPr>
              <w:t>K</w:t>
            </w:r>
          </w:p>
        </w:tc>
        <w:tc>
          <w:tcPr>
            <w:tcW w:type="dxa" w:w="2381"/>
          </w:tcPr>
          <w:p>
            <w:r/>
            <w:r>
              <w:rPr>
                <w:sz w:val="19"/>
              </w:rPr>
              <w:t>Kilogram</w:t>
            </w:r>
          </w:p>
        </w:tc>
        <w:tc>
          <w:tcPr>
            <w:tcW w:type="dxa" w:w="1701"/>
          </w:tcPr>
          <w:p>
            <w:r/>
            <w:r>
              <w:rPr>
                <w:sz w:val="19"/>
              </w:rPr>
              <w:t>Weight (KG)</w:t>
            </w:r>
          </w:p>
        </w:tc>
        <w:tc>
          <w:tcPr>
            <w:tcW w:type="dxa" w:w="3061"/>
          </w:tcPr>
          <w:p>
            <w:r/>
            <w:r>
              <w:rPr>
                <w:sz w:val="19"/>
              </w:rPr>
              <w:t>Volume is the pack size in kilograms</w:t>
            </w:r>
          </w:p>
        </w:tc>
      </w:tr>
      <w:tr>
        <w:tc>
          <w:tcPr>
            <w:tcW w:type="dxa" w:w="2268"/>
          </w:tcPr>
          <w:p>
            <w:r/>
            <w:r>
              <w:rPr>
                <w:sz w:val="19"/>
              </w:rPr>
              <w:t>G</w:t>
            </w:r>
          </w:p>
        </w:tc>
        <w:tc>
          <w:tcPr>
            <w:tcW w:type="dxa" w:w="2381"/>
          </w:tcPr>
          <w:p>
            <w:r/>
            <w:r>
              <w:rPr>
                <w:sz w:val="19"/>
              </w:rPr>
              <w:t>Gram-size pack</w:t>
            </w:r>
          </w:p>
        </w:tc>
        <w:tc>
          <w:tcPr>
            <w:tcW w:type="dxa" w:w="1701"/>
          </w:tcPr>
          <w:p>
            <w:r/>
            <w:r>
              <w:rPr>
                <w:sz w:val="19"/>
              </w:rPr>
              <w:t>Weight (KG)</w:t>
            </w:r>
          </w:p>
        </w:tc>
        <w:tc>
          <w:tcPr>
            <w:tcW w:type="dxa" w:w="3061"/>
          </w:tcPr>
          <w:p>
            <w:r/>
            <w:r>
              <w:rPr>
                <w:sz w:val="19"/>
              </w:rPr>
              <w:t>Volume already written as kilogram fraction; no conversion</w:t>
            </w:r>
          </w:p>
        </w:tc>
      </w:tr>
      <w:tr>
        <w:tc>
          <w:tcPr>
            <w:tcW w:type="dxa" w:w="2268"/>
          </w:tcPr>
          <w:p>
            <w:r/>
            <w:r>
              <w:rPr>
                <w:sz w:val="19"/>
              </w:rPr>
              <w:t>(blank) + Item Code contains 'BULKPC'</w:t>
            </w:r>
          </w:p>
        </w:tc>
        <w:tc>
          <w:tcPr>
            <w:tcW w:type="dxa" w:w="2381"/>
          </w:tcPr>
          <w:p>
            <w:r/>
            <w:r>
              <w:rPr>
                <w:sz w:val="19"/>
              </w:rPr>
              <w:t>Fresh empty packing containers / fresh empty carton boxes</w:t>
            </w:r>
          </w:p>
        </w:tc>
        <w:tc>
          <w:tcPr>
            <w:tcW w:type="dxa" w:w="1701"/>
          </w:tcPr>
          <w:p>
            <w:r/>
            <w:r>
              <w:rPr>
                <w:sz w:val="19"/>
              </w:rPr>
              <w:t>Count only (pieces)</w:t>
            </w:r>
          </w:p>
        </w:tc>
        <w:tc>
          <w:tcPr>
            <w:tcW w:type="dxa" w:w="3061"/>
          </w:tcPr>
          <w:p>
            <w:r/>
            <w:r>
              <w:rPr>
                <w:sz w:val="19"/>
              </w:rPr>
              <w:t>No LTR/KG; separate checklist section</w:t>
            </w:r>
          </w:p>
        </w:tc>
      </w:tr>
      <w:tr>
        <w:tc>
          <w:tcPr>
            <w:tcW w:type="dxa" w:w="2268"/>
          </w:tcPr>
          <w:p>
            <w:r/>
            <w:r>
              <w:rPr>
                <w:sz w:val="19"/>
              </w:rPr>
              <w:t>(blank) without BULKPC, or any other value</w:t>
            </w:r>
          </w:p>
        </w:tc>
        <w:tc>
          <w:tcPr>
            <w:tcW w:type="dxa" w:w="2381"/>
          </w:tcPr>
          <w:p>
            <w:r/>
            <w:r>
              <w:rPr>
                <w:sz w:val="19"/>
              </w:rPr>
              <w:t>Unknown</w:t>
            </w:r>
          </w:p>
        </w:tc>
        <w:tc>
          <w:tcPr>
            <w:tcW w:type="dxa" w:w="1701"/>
          </w:tcPr>
          <w:p>
            <w:r/>
            <w:r>
              <w:rPr>
                <w:sz w:val="19"/>
              </w:rPr>
              <w:t>-</w:t>
            </w:r>
          </w:p>
        </w:tc>
        <w:tc>
          <w:tcPr>
            <w:tcW w:type="dxa" w:w="3061"/>
          </w:tcPr>
          <w:p>
            <w:r/>
            <w:r>
              <w:rPr>
                <w:sz w:val="19"/>
              </w:rPr>
              <w:t>Import exception; Ship cannot be linked until resolved</w:t>
            </w:r>
          </w:p>
        </w:tc>
      </w:tr>
    </w:tbl>
    <w:p>
      <w:pPr>
        <w:spacing w:after="40"/>
      </w:pPr>
    </w:p>
    <w:p>
      <w:pPr>
        <w:pStyle w:val="ListBullet"/>
        <w:spacing w:after="40"/>
      </w:pPr>
      <w:r>
        <w:t>Expected measure per row = Volume x Quantity Issued (20 L x 50 = 1,000 LTR; ML row 0.5 x 96 = 48 LTR).</w:t>
      </w:r>
    </w:p>
    <w:p>
      <w:pPr>
        <w:pStyle w:val="ListBullet"/>
        <w:spacing w:after="40"/>
      </w:pPr>
      <w:r>
        <w:t>An ML or G row with Volume &gt;= 1 is flagged as a data exception.</w:t>
      </w:r>
    </w:p>
    <w:p>
      <w:pPr>
        <w:pStyle w:val="Heading2"/>
      </w:pPr>
      <w:r>
        <w:t>3.3 Change detection</w:t>
      </w:r>
    </w:p>
    <w:p>
      <w:pPr>
        <w:spacing w:after="80"/>
      </w:pPr>
      <w:r>
        <w:rPr>
          <w:i w:val="0"/>
        </w:rPr>
        <w:t>Processing is detected only from how a Ship ID's rows change between consecutive accepted imports. Rows never vanish blindly: a vanished row means Oracle processed it. A Ship in SIT never grows.</w:t>
      </w:r>
    </w:p>
    <w:tbl>
      <w:tblPr>
        <w:tblStyle w:val="TableGrid"/>
        <w:tblW w:type="auto" w:w="0"/>
        <w:jc w:val="center"/>
        <w:tblLook w:firstColumn="1" w:firstRow="1" w:lastColumn="0" w:lastRow="0" w:noHBand="0" w:noVBand="1" w:val="04A0"/>
      </w:tblPr>
      <w:tblGrid>
        <w:gridCol w:w="3137"/>
        <w:gridCol w:w="3137"/>
        <w:gridCol w:w="3137"/>
      </w:tblGrid>
      <w:tr>
        <w:tc>
          <w:tcPr>
            <w:tcW w:type="dxa" w:w="2948"/>
            <w:shd w:val="clear" w:color="auto" w:fill="1F3A5F"/>
          </w:tcPr>
          <w:p>
            <w:r/>
            <w:r>
              <w:rPr>
                <w:b/>
                <w:color w:val="FFFFFF"/>
                <w:sz w:val="19"/>
              </w:rPr>
              <w:t>Event</w:t>
            </w:r>
          </w:p>
        </w:tc>
        <w:tc>
          <w:tcPr>
            <w:tcW w:type="dxa" w:w="3175"/>
            <w:shd w:val="clear" w:color="auto" w:fill="1F3A5F"/>
          </w:tcPr>
          <w:p>
            <w:r/>
            <w:r>
              <w:rPr>
                <w:b/>
                <w:color w:val="FFFFFF"/>
                <w:sz w:val="19"/>
              </w:rPr>
              <w:t>Meaning</w:t>
            </w:r>
          </w:p>
        </w:tc>
        <w:tc>
          <w:tcPr>
            <w:tcW w:type="dxa" w:w="3288"/>
            <w:shd w:val="clear" w:color="auto" w:fill="1F3A5F"/>
          </w:tcPr>
          <w:p>
            <w:r/>
            <w:r>
              <w:rPr>
                <w:b/>
                <w:color w:val="FFFFFF"/>
                <w:sz w:val="19"/>
              </w:rPr>
              <w:t>Action</w:t>
            </w:r>
          </w:p>
        </w:tc>
      </w:tr>
      <w:tr>
        <w:tc>
          <w:tcPr>
            <w:tcW w:type="dxa" w:w="2948"/>
          </w:tcPr>
          <w:p>
            <w:r/>
            <w:r>
              <w:rPr>
                <w:sz w:val="19"/>
              </w:rPr>
              <w:t>NEW_SHIP</w:t>
            </w:r>
          </w:p>
        </w:tc>
        <w:tc>
          <w:tcPr>
            <w:tcW w:type="dxa" w:w="3175"/>
          </w:tcPr>
          <w:p>
            <w:r/>
            <w:r>
              <w:rPr>
                <w:sz w:val="19"/>
              </w:rPr>
              <w:t>Ship ID appears for the first time</w:t>
            </w:r>
          </w:p>
        </w:tc>
        <w:tc>
          <w:tcPr>
            <w:tcW w:type="dxa" w:w="3288"/>
          </w:tcPr>
          <w:p>
            <w:r/>
            <w:r>
              <w:rPr>
                <w:sz w:val="19"/>
              </w:rPr>
              <w:t>Available for IW linking</w:t>
            </w:r>
          </w:p>
        </w:tc>
      </w:tr>
      <w:tr>
        <w:tc>
          <w:tcPr>
            <w:tcW w:type="dxa" w:w="2948"/>
          </w:tcPr>
          <w:p>
            <w:r/>
            <w:r>
              <w:rPr>
                <w:sz w:val="19"/>
              </w:rPr>
              <w:t>SKU_REDUCED</w:t>
            </w:r>
          </w:p>
        </w:tc>
        <w:tc>
          <w:tcPr>
            <w:tcW w:type="dxa" w:w="3175"/>
          </w:tcPr>
          <w:p>
            <w:r/>
            <w:r>
              <w:rPr>
                <w:sz w:val="19"/>
              </w:rPr>
              <w:t>Pending quantity lower than before</w:t>
            </w:r>
          </w:p>
        </w:tc>
        <w:tc>
          <w:tcPr>
            <w:tcW w:type="dxa" w:w="3288"/>
          </w:tcPr>
          <w:p>
            <w:r/>
            <w:r>
              <w:rPr>
                <w:sz w:val="19"/>
              </w:rPr>
              <w:t>Partial-processing event; daily escalation until fully processed</w:t>
            </w:r>
          </w:p>
        </w:tc>
      </w:tr>
      <w:tr>
        <w:tc>
          <w:tcPr>
            <w:tcW w:type="dxa" w:w="2948"/>
          </w:tcPr>
          <w:p>
            <w:r/>
            <w:r>
              <w:rPr>
                <w:sz w:val="19"/>
              </w:rPr>
              <w:t>SKU_REMOVED</w:t>
            </w:r>
          </w:p>
        </w:tc>
        <w:tc>
          <w:tcPr>
            <w:tcW w:type="dxa" w:w="3175"/>
          </w:tcPr>
          <w:p>
            <w:r/>
            <w:r>
              <w:rPr>
                <w:sz w:val="19"/>
              </w:rPr>
              <w:t>SKU row gone, Ship still present</w:t>
            </w:r>
          </w:p>
        </w:tc>
        <w:tc>
          <w:tcPr>
            <w:tcW w:type="dxa" w:w="3288"/>
          </w:tcPr>
          <w:p>
            <w:r/>
            <w:r>
              <w:rPr>
                <w:sz w:val="19"/>
              </w:rPr>
              <w:t>That SKU processed; partial-processing event</w:t>
            </w:r>
          </w:p>
        </w:tc>
      </w:tr>
      <w:tr>
        <w:tc>
          <w:tcPr>
            <w:tcW w:type="dxa" w:w="2948"/>
          </w:tcPr>
          <w:p>
            <w:r/>
            <w:r>
              <w:rPr>
                <w:sz w:val="19"/>
              </w:rPr>
              <w:t>SHIP_REMOVED + IW linked + receipt entered</w:t>
            </w:r>
          </w:p>
        </w:tc>
        <w:tc>
          <w:tcPr>
            <w:tcW w:type="dxa" w:w="3175"/>
          </w:tcPr>
          <w:p>
            <w:r/>
            <w:r>
              <w:rPr>
                <w:sz w:val="19"/>
              </w:rPr>
              <w:t>Normal full processing</w:t>
            </w:r>
          </w:p>
        </w:tc>
        <w:tc>
          <w:tcPr>
            <w:tcW w:type="dxa" w:w="3288"/>
          </w:tcPr>
          <w:p>
            <w:r/>
            <w:r>
              <w:rPr>
                <w:sz w:val="19"/>
              </w:rPr>
              <w:t>Info event; expect IRR evidence</w:t>
            </w:r>
          </w:p>
        </w:tc>
      </w:tr>
      <w:tr>
        <w:tc>
          <w:tcPr>
            <w:tcW w:type="dxa" w:w="2948"/>
          </w:tcPr>
          <w:p>
            <w:r/>
            <w:r>
              <w:rPr>
                <w:sz w:val="19"/>
              </w:rPr>
              <w:t>SHIP_REMOVED + IW linked, no receipt entered</w:t>
            </w:r>
          </w:p>
        </w:tc>
        <w:tc>
          <w:tcPr>
            <w:tcW w:type="dxa" w:w="3175"/>
          </w:tcPr>
          <w:p>
            <w:r/>
            <w:r>
              <w:rPr>
                <w:sz w:val="19"/>
              </w:rPr>
              <w:t>Processed in ERP before the clerk recorded it</w:t>
            </w:r>
          </w:p>
        </w:tc>
        <w:tc>
          <w:tcPr>
            <w:tcW w:type="dxa" w:w="3288"/>
          </w:tcPr>
          <w:p>
            <w:r/>
            <w:r>
              <w:rPr>
                <w:sz w:val="19"/>
              </w:rPr>
              <w:t>Exception: clerk to enter Stock Receipt No</w:t>
            </w:r>
          </w:p>
        </w:tc>
      </w:tr>
      <w:tr>
        <w:tc>
          <w:tcPr>
            <w:tcW w:type="dxa" w:w="2948"/>
          </w:tcPr>
          <w:p>
            <w:r/>
            <w:r>
              <w:rPr>
                <w:sz w:val="19"/>
              </w:rPr>
              <w:t>SHIP_REMOVED + never linked to an IW</w:t>
            </w:r>
          </w:p>
        </w:tc>
        <w:tc>
          <w:tcPr>
            <w:tcW w:type="dxa" w:w="3175"/>
          </w:tcPr>
          <w:p>
            <w:r/>
            <w:r>
              <w:rPr>
                <w:sz w:val="19"/>
              </w:rPr>
              <w:t>ERP processed without a vehicle IW</w:t>
            </w:r>
          </w:p>
        </w:tc>
        <w:tc>
          <w:tcPr>
            <w:tcW w:type="dxa" w:w="3288"/>
          </w:tcPr>
          <w:p>
            <w:r/>
            <w:r>
              <w:rPr>
                <w:sz w:val="19"/>
              </w:rPr>
              <w:t>CRITICAL exception to CFA Manager</w:t>
            </w:r>
          </w:p>
        </w:tc>
      </w:tr>
      <w:tr>
        <w:tc>
          <w:tcPr>
            <w:tcW w:type="dxa" w:w="2948"/>
          </w:tcPr>
          <w:p>
            <w:r/>
            <w:r>
              <w:rPr>
                <w:sz w:val="19"/>
              </w:rPr>
              <w:t>QTY_INCREASED / SKU_ADDED to existing Ship</w:t>
            </w:r>
          </w:p>
        </w:tc>
        <w:tc>
          <w:tcPr>
            <w:tcW w:type="dxa" w:w="3175"/>
          </w:tcPr>
          <w:p>
            <w:r/>
            <w:r>
              <w:rPr>
                <w:sz w:val="19"/>
              </w:rPr>
              <w:t>Not possible per business rule</w:t>
            </w:r>
          </w:p>
        </w:tc>
        <w:tc>
          <w:tcPr>
            <w:tcW w:type="dxa" w:w="3288"/>
          </w:tcPr>
          <w:p>
            <w:r/>
            <w:r>
              <w:rPr>
                <w:sz w:val="19"/>
              </w:rPr>
              <w:t>CRITICAL anomaly; import accepted and flagged</w:t>
            </w:r>
          </w:p>
        </w:tc>
      </w:tr>
    </w:tbl>
    <w:p>
      <w:pPr>
        <w:spacing w:after="40"/>
      </w:pPr>
    </w:p>
    <w:p>
      <w:pPr>
        <w:pStyle w:val="ListBullet"/>
        <w:spacing w:after="40"/>
      </w:pPr>
      <w:r>
        <w:rPr>
          <w:b/>
        </w:rPr>
        <w:t xml:space="preserve">Window guard: </w:t>
      </w:r>
      <w:r>
        <w:t>a Ship whose Shipment Date is outside the new report's window is 'out of window', not removed.</w:t>
      </w:r>
    </w:p>
    <w:p>
      <w:pPr>
        <w:pStyle w:val="ListBullet"/>
        <w:spacing w:after="40"/>
      </w:pPr>
      <w:r>
        <w:rPr>
          <w:b/>
        </w:rPr>
        <w:t xml:space="preserve">Go-live baseline: </w:t>
      </w:r>
      <w:r>
        <w:t>Ships present in the first SIT import that belong to vehicles received before go-live are bulk-marked 'Pre-go-live' by the clerk and excluded from exception classification (section 21).</w:t>
      </w:r>
    </w:p>
    <w:p>
      <w:pPr>
        <w:pStyle w:val="Heading1"/>
      </w:pPr>
      <w:r>
        <w:t>4. Screen 02 - IW Vehicle / Consignment Creation</w:t>
      </w:r>
    </w:p>
    <w:tbl>
      <w:tblPr>
        <w:tblStyle w:val="TableGrid"/>
        <w:tblW w:type="auto" w:w="0"/>
        <w:jc w:val="center"/>
        <w:tblLook w:firstColumn="1" w:firstRow="1" w:lastColumn="0" w:lastRow="0" w:noHBand="0" w:noVBand="1" w:val="04A0"/>
      </w:tblPr>
      <w:tblGrid>
        <w:gridCol w:w="4706"/>
        <w:gridCol w:w="4706"/>
      </w:tblGrid>
      <w:tr>
        <w:tc>
          <w:tcPr>
            <w:tcW w:type="dxa" w:w="2154"/>
            <w:shd w:val="clear" w:color="auto" w:fill="1F3A5F"/>
          </w:tcPr>
          <w:p>
            <w:r/>
            <w:r>
              <w:rPr>
                <w:b/>
                <w:color w:val="FFFFFF"/>
                <w:sz w:val="19"/>
              </w:rPr>
              <w:t>Field</w:t>
            </w:r>
          </w:p>
        </w:tc>
        <w:tc>
          <w:tcPr>
            <w:tcW w:type="dxa" w:w="7257"/>
            <w:shd w:val="clear" w:color="auto" w:fill="1F3A5F"/>
          </w:tcPr>
          <w:p>
            <w:r/>
            <w:r>
              <w:rPr>
                <w:b/>
                <w:color w:val="FFFFFF"/>
                <w:sz w:val="19"/>
              </w:rPr>
              <w:t>Rule</w:t>
            </w:r>
          </w:p>
        </w:tc>
      </w:tr>
      <w:tr>
        <w:tc>
          <w:tcPr>
            <w:tcW w:type="dxa" w:w="2154"/>
          </w:tcPr>
          <w:p>
            <w:r/>
            <w:r>
              <w:rPr>
                <w:sz w:val="19"/>
              </w:rPr>
              <w:t>IW Number</w:t>
            </w:r>
          </w:p>
        </w:tc>
        <w:tc>
          <w:tcPr>
            <w:tcW w:type="dxa" w:w="7257"/>
          </w:tcPr>
          <w:p>
            <w:r/>
            <w:r>
              <w:rPr>
                <w:sz w:val="19"/>
              </w:rPr>
              <w:t>Auto-generated IW-2627-000001. FY = Indian FY (1 Apr - 31 Mar) of the actual vehicle arrival date only. Issued from a per-FY counter row locked in the creation transaction (no duplicates, no rollback gaps). Each FY starts at 000001.</w:t>
            </w:r>
          </w:p>
        </w:tc>
      </w:tr>
      <w:tr>
        <w:tc>
          <w:tcPr>
            <w:tcW w:type="dxa" w:w="2154"/>
          </w:tcPr>
          <w:p>
            <w:r/>
            <w:r>
              <w:rPr>
                <w:sz w:val="19"/>
              </w:rPr>
              <w:t>Arrival Date-Time</w:t>
            </w:r>
          </w:p>
        </w:tc>
        <w:tc>
          <w:tcPr>
            <w:tcW w:type="dxa" w:w="7257"/>
          </w:tcPr>
          <w:p>
            <w:r/>
            <w:r>
              <w:rPr>
                <w:sz w:val="19"/>
              </w:rPr>
              <w:t>Mandatory; actual vehicle arrival. Editable after the number is issued only within the same FY; a cross-FY change requires VOID and re-creation.</w:t>
            </w:r>
          </w:p>
        </w:tc>
      </w:tr>
      <w:tr>
        <w:tc>
          <w:tcPr>
            <w:tcW w:type="dxa" w:w="2154"/>
          </w:tcPr>
          <w:p>
            <w:r/>
            <w:r>
              <w:rPr>
                <w:sz w:val="19"/>
              </w:rPr>
              <w:t>Source of Load</w:t>
            </w:r>
          </w:p>
        </w:tc>
        <w:tc>
          <w:tcPr>
            <w:tcW w:type="dxa" w:w="7257"/>
          </w:tcPr>
          <w:p>
            <w:r/>
            <w:r>
              <w:rPr>
                <w:sz w:val="19"/>
              </w:rPr>
              <w:t>Searchable Organisation Code from master; drives primary MRA recipient routing.</w:t>
            </w:r>
          </w:p>
        </w:tc>
      </w:tr>
      <w:tr>
        <w:tc>
          <w:tcPr>
            <w:tcW w:type="dxa" w:w="2154"/>
          </w:tcPr>
          <w:p>
            <w:r/>
            <w:r>
              <w:rPr>
                <w:sz w:val="19"/>
              </w:rPr>
              <w:t>Load Type</w:t>
            </w:r>
          </w:p>
        </w:tc>
        <w:tc>
          <w:tcPr>
            <w:tcW w:type="dxa" w:w="7257"/>
          </w:tcPr>
          <w:p>
            <w:r/>
            <w:r>
              <w:rPr>
                <w:sz w:val="19"/>
              </w:rPr>
              <w:t>Searchable dropdown; approved list below.</w:t>
            </w:r>
          </w:p>
        </w:tc>
      </w:tr>
      <w:tr>
        <w:tc>
          <w:tcPr>
            <w:tcW w:type="dxa" w:w="2154"/>
          </w:tcPr>
          <w:p>
            <w:r/>
            <w:r>
              <w:rPr>
                <w:sz w:val="19"/>
              </w:rPr>
              <w:t>Vehicle Number</w:t>
            </w:r>
          </w:p>
        </w:tc>
        <w:tc>
          <w:tcPr>
            <w:tcW w:type="dxa" w:w="7257"/>
          </w:tcPr>
          <w:p>
            <w:r/>
            <w:r>
              <w:rPr>
                <w:sz w:val="19"/>
              </w:rPr>
              <w:t>Required.</w:t>
            </w:r>
          </w:p>
        </w:tc>
      </w:tr>
      <w:tr>
        <w:tc>
          <w:tcPr>
            <w:tcW w:type="dxa" w:w="2154"/>
          </w:tcPr>
          <w:p>
            <w:r/>
            <w:r>
              <w:rPr>
                <w:sz w:val="19"/>
              </w:rPr>
              <w:t>Driver Name</w:t>
            </w:r>
          </w:p>
        </w:tc>
        <w:tc>
          <w:tcPr>
            <w:tcW w:type="dxa" w:w="7257"/>
          </w:tcPr>
          <w:p>
            <w:r/>
            <w:r>
              <w:rPr>
                <w:sz w:val="19"/>
              </w:rPr>
              <w:t>Captured.</w:t>
            </w:r>
          </w:p>
        </w:tc>
      </w:tr>
      <w:tr>
        <w:tc>
          <w:tcPr>
            <w:tcW w:type="dxa" w:w="2154"/>
          </w:tcPr>
          <w:p>
            <w:r/>
            <w:r>
              <w:rPr>
                <w:sz w:val="19"/>
              </w:rPr>
              <w:t>Driver Contact Number</w:t>
            </w:r>
          </w:p>
        </w:tc>
        <w:tc>
          <w:tcPr>
            <w:tcW w:type="dxa" w:w="7257"/>
          </w:tcPr>
          <w:p>
            <w:r/>
            <w:r>
              <w:rPr>
                <w:sz w:val="19"/>
              </w:rPr>
              <w:t>Captured and printed on MRA.</w:t>
            </w:r>
          </w:p>
        </w:tc>
      </w:tr>
      <w:tr>
        <w:tc>
          <w:tcPr>
            <w:tcW w:type="dxa" w:w="2154"/>
          </w:tcPr>
          <w:p>
            <w:r/>
            <w:r>
              <w:rPr>
                <w:sz w:val="19"/>
              </w:rPr>
              <w:t>Transporter</w:t>
            </w:r>
          </w:p>
        </w:tc>
        <w:tc>
          <w:tcPr>
            <w:tcW w:type="dxa" w:w="7257"/>
          </w:tcPr>
          <w:p>
            <w:r/>
            <w:r>
              <w:rPr>
                <w:sz w:val="19"/>
              </w:rPr>
              <w:t>Searchable master; new entries may be captured and later normalised/approved.</w:t>
            </w:r>
          </w:p>
        </w:tc>
      </w:tr>
      <w:tr>
        <w:tc>
          <w:tcPr>
            <w:tcW w:type="dxa" w:w="2154"/>
          </w:tcPr>
          <w:p>
            <w:r/>
            <w:r>
              <w:rPr>
                <w:sz w:val="19"/>
              </w:rPr>
              <w:t>LR Number</w:t>
            </w:r>
          </w:p>
        </w:tc>
        <w:tc>
          <w:tcPr>
            <w:tcW w:type="dxa" w:w="7257"/>
          </w:tcPr>
          <w:p>
            <w:r/>
            <w:r>
              <w:rPr>
                <w:sz w:val="19"/>
              </w:rPr>
              <w:t>Captured after Transporter (optional only for Others (Non-Stock) hand deliveries).</w:t>
            </w:r>
          </w:p>
        </w:tc>
      </w:tr>
    </w:tbl>
    <w:p>
      <w:pPr>
        <w:spacing w:after="40"/>
      </w:pPr>
    </w:p>
    <w:tbl>
      <w:tblPr>
        <w:tblStyle w:val="TableGrid"/>
        <w:tblW w:type="auto" w:w="0"/>
        <w:jc w:val="center"/>
        <w:tblLook w:firstColumn="1" w:firstRow="1" w:lastColumn="0" w:lastRow="0" w:noHBand="0" w:noVBand="1" w:val="04A0"/>
      </w:tblPr>
      <w:tblGrid>
        <w:gridCol w:w="9412"/>
      </w:tblGrid>
      <w:tr>
        <w:tc>
          <w:tcPr>
            <w:tcW w:type="dxa" w:w="9411"/>
            <w:shd w:val="clear" w:color="auto" w:fill="1F3A5F"/>
          </w:tcPr>
          <w:p>
            <w:r/>
            <w:r>
              <w:rPr>
                <w:b/>
                <w:color w:val="FFFFFF"/>
                <w:sz w:val="19"/>
              </w:rPr>
              <w:t>Approved Load Types</w:t>
            </w:r>
          </w:p>
        </w:tc>
      </w:tr>
      <w:tr>
        <w:tc>
          <w:tcPr>
            <w:tcW w:type="dxa" w:w="9411"/>
          </w:tcPr>
          <w:p>
            <w:r/>
            <w:r>
              <w:rPr>
                <w:sz w:val="19"/>
              </w:rPr>
              <w:t>Inter Depot Receipt</w:t>
            </w:r>
          </w:p>
        </w:tc>
      </w:tr>
      <w:tr>
        <w:tc>
          <w:tcPr>
            <w:tcW w:type="dxa" w:w="9411"/>
          </w:tcPr>
          <w:p>
            <w:r/>
            <w:r>
              <w:rPr>
                <w:sz w:val="19"/>
              </w:rPr>
              <w:t>Inter Depot + Inbound Transhipment</w:t>
            </w:r>
          </w:p>
        </w:tc>
      </w:tr>
      <w:tr>
        <w:tc>
          <w:tcPr>
            <w:tcW w:type="dxa" w:w="9411"/>
          </w:tcPr>
          <w:p>
            <w:r/>
            <w:r>
              <w:rPr>
                <w:sz w:val="19"/>
              </w:rPr>
              <w:t>Inbound Transhipment</w:t>
            </w:r>
          </w:p>
        </w:tc>
      </w:tr>
      <w:tr>
        <w:tc>
          <w:tcPr>
            <w:tcW w:type="dxa" w:w="9411"/>
          </w:tcPr>
          <w:p>
            <w:r/>
            <w:r>
              <w:rPr>
                <w:sz w:val="19"/>
              </w:rPr>
              <w:t>RDC Receipt</w:t>
            </w:r>
          </w:p>
        </w:tc>
      </w:tr>
      <w:tr>
        <w:tc>
          <w:tcPr>
            <w:tcW w:type="dxa" w:w="9411"/>
          </w:tcPr>
          <w:p>
            <w:r/>
            <w:r>
              <w:rPr>
                <w:sz w:val="19"/>
              </w:rPr>
              <w:t>RDC + Outbound Transhipment</w:t>
            </w:r>
          </w:p>
        </w:tc>
      </w:tr>
      <w:tr>
        <w:tc>
          <w:tcPr>
            <w:tcW w:type="dxa" w:w="9411"/>
          </w:tcPr>
          <w:p>
            <w:r/>
            <w:r>
              <w:rPr>
                <w:sz w:val="19"/>
              </w:rPr>
              <w:t>Direct Factory Receipt</w:t>
            </w:r>
          </w:p>
        </w:tc>
      </w:tr>
      <w:tr>
        <w:tc>
          <w:tcPr>
            <w:tcW w:type="dxa" w:w="9411"/>
          </w:tcPr>
          <w:p>
            <w:r/>
            <w:r>
              <w:rPr>
                <w:sz w:val="19"/>
              </w:rPr>
              <w:t>Direct Factory + Outbound Transhipment</w:t>
            </w:r>
          </w:p>
        </w:tc>
      </w:tr>
      <w:tr>
        <w:tc>
          <w:tcPr>
            <w:tcW w:type="dxa" w:w="9411"/>
          </w:tcPr>
          <w:p>
            <w:r/>
            <w:r>
              <w:rPr>
                <w:sz w:val="19"/>
              </w:rPr>
              <w:t>Vendors</w:t>
            </w:r>
          </w:p>
        </w:tc>
      </w:tr>
      <w:tr>
        <w:tc>
          <w:tcPr>
            <w:tcW w:type="dxa" w:w="9411"/>
          </w:tcPr>
          <w:p>
            <w:r/>
            <w:r>
              <w:rPr>
                <w:sz w:val="19"/>
              </w:rPr>
              <w:t>Others (Non-Stock) - vehicle carrying only items that do not affect system stock, e.g. gift items</w:t>
            </w:r>
          </w:p>
        </w:tc>
      </w:tr>
    </w:tbl>
    <w:p>
      <w:pPr>
        <w:spacing w:after="40"/>
      </w:pPr>
    </w:p>
    <w:p>
      <w:pPr>
        <w:spacing w:after="80"/>
      </w:pPr>
      <w:r>
        <w:rPr>
          <w:i w:val="0"/>
        </w:rPr>
        <w:t>VOID: an IW created in error may be voided only before MRA issue, with reason and CFA Manager approval. The number is kept and never reused; linked references are released.</w:t>
      </w:r>
    </w:p>
    <w:p>
      <w:pPr>
        <w:pStyle w:val="Heading1"/>
      </w:pPr>
      <w:r>
        <w:t>5. Screen 03 - Material / Reference Linking</w:t>
      </w:r>
    </w:p>
    <w:p>
      <w:pPr>
        <w:spacing w:after="80"/>
      </w:pPr>
      <w:r>
        <w:rPr>
          <w:i w:val="0"/>
        </w:rPr>
        <w:t>Every linked reference forms a 'track' with its own lifecycle (section 18). One IW may carry several track types at once.</w:t>
      </w:r>
    </w:p>
    <w:p>
      <w:pPr>
        <w:pStyle w:val="Heading2"/>
      </w:pPr>
      <w:r>
        <w:t>5.1 Normal SIT Ship Linking</w:t>
      </w:r>
    </w:p>
    <w:p>
      <w:pPr>
        <w:pStyle w:val="ListBullet"/>
        <w:spacing w:after="40"/>
      </w:pPr>
      <w:r>
        <w:t>Clerk obtains the Ship ID from driver documents and selects it from imported SIT.</w:t>
      </w:r>
    </w:p>
    <w:p>
      <w:pPr>
        <w:pStyle w:val="ListBullet"/>
        <w:spacing w:after="40"/>
      </w:pPr>
      <w:r>
        <w:t>The system determines movement/origin/transit using From Org -&gt; To Org and the load-type logic.</w:t>
      </w:r>
    </w:p>
    <w:p>
      <w:pPr>
        <w:pStyle w:val="ListBullet"/>
        <w:spacing w:after="40"/>
      </w:pPr>
      <w:r>
        <w:t>Expected-quantity baseline = SIT pending quantity per SKU at link time, frozen as a snapshot. Later SIT changes never alter it.</w:t>
      </w:r>
    </w:p>
    <w:p>
      <w:pPr>
        <w:pStyle w:val="ListBullet"/>
        <w:spacing w:after="40"/>
      </w:pPr>
      <w:r>
        <w:t>For Depot/RDC/Factory loads a Ship ID is expected in SIT; 'Ship ID not found' is not a routine path.</w:t>
      </w:r>
    </w:p>
    <w:p>
      <w:pPr>
        <w:pStyle w:val="ListBullet"/>
        <w:spacing w:after="40"/>
      </w:pPr>
      <w:r>
        <w:t>Direct Factory loads: LSCRR Number and 'LSCRR applied in Oracle' (Yes/No) are captured per Ship ID; mandatory before its Stock Receipt No can be saved (section 8.3).</w:t>
      </w:r>
    </w:p>
    <w:p>
      <w:pPr>
        <w:pStyle w:val="Heading3"/>
      </w:pPr>
      <w:r>
        <w:t>Split vehicle (rare, clerk-invoked)</w:t>
      </w:r>
    </w:p>
    <w:p>
      <w:pPr>
        <w:spacing w:after="80"/>
      </w:pPr>
      <w:r>
        <w:rPr>
          <w:i w:val="0"/>
        </w:rPr>
        <w:t>Example: Ship 52497520 with 100 drums is loaded 60 on truck 1 and 40 on truck 2. Without allocation, each IW would show false shortages and the Ship would be counted twice.</w:t>
      </w:r>
    </w:p>
    <w:p>
      <w:pPr>
        <w:pStyle w:val="ListNumber"/>
        <w:spacing w:after="40"/>
      </w:pPr>
      <w:r>
        <w:t>A Ship ID already linked to another IW is blocked by default. The clerk may choose 'Split vehicle' with a reason (audited, shown on both IWs).</w:t>
      </w:r>
    </w:p>
    <w:p>
      <w:pPr>
        <w:pStyle w:val="ListNumber"/>
        <w:spacing w:after="40"/>
      </w:pPr>
      <w:r>
        <w:t>The clerk then enters the per-SKU quantity carried on this vehicle from its document. Sum of allocations per SKU cannot exceed the SIT baseline (for later IWs: SIT pending at link time minus quantities allocated to open IWs).</w:t>
      </w:r>
    </w:p>
    <w:p>
      <w:pPr>
        <w:pStyle w:val="ListNumber"/>
        <w:spacing w:after="40"/>
      </w:pPr>
      <w:r>
        <w:t>Checklist, SED and MRA of each IW use its own allocation. Each IW enters its own receipts; reconciliation is per receipt.</w:t>
      </w:r>
    </w:p>
    <w:p>
      <w:pPr>
        <w:pStyle w:val="ListNumber"/>
        <w:spacing w:after="40"/>
      </w:pPr>
      <w:r>
        <w:t>If quantity remains unallocated 7 days (configurable) after the first vehicle, a 'Ship balance not received' exception is raised.</w:t>
      </w:r>
    </w:p>
    <w:p>
      <w:pPr>
        <w:pStyle w:val="Heading2"/>
      </w:pPr>
      <w:r>
        <w:t>5.2 Inbound Transhipment</w:t>
      </w:r>
    </w:p>
    <w:p>
      <w:pPr>
        <w:pStyle w:val="ListBullet"/>
        <w:spacing w:after="40"/>
      </w:pPr>
      <w:r>
        <w:t>SIT origin remains the original Factory/RDC; the transit depot is recorded separately.</w:t>
      </w:r>
    </w:p>
    <w:p>
      <w:pPr>
        <w:pStyle w:val="ListBullet"/>
        <w:spacing w:after="40"/>
      </w:pPr>
      <w:r>
        <w:t>MRA goes to the operational Source Org; the Origin Org may be included in CC.</w:t>
      </w:r>
    </w:p>
    <w:p>
      <w:pPr>
        <w:pStyle w:val="ListBullet"/>
        <w:spacing w:after="40"/>
      </w:pPr>
      <w:r>
        <w:t>'Origin Org' is the term used where the original Factory/RDC must be shown.</w:t>
      </w:r>
    </w:p>
    <w:p>
      <w:pPr>
        <w:pStyle w:val="Heading2"/>
      </w:pPr>
      <w:r>
        <w:t>5.3 Outbound Transhipment</w:t>
      </w:r>
    </w:p>
    <w:p>
      <w:pPr>
        <w:spacing w:after="80"/>
      </w:pPr>
      <w:r>
        <w:rPr>
          <w:i w:val="0"/>
        </w:rPr>
        <w:t>Outbound Ship IDs are not in SIT. The Berger Despatch Detail Report has no Ship ID column and no row date; it covers a date range and all destinations (TO ORG, BRAND, SHADE, PACK, DESCRIPTION, B. LINE, UOM, NOP, VOL, VOL_LTR, VOL_KG). Rule (revised 15-Oct-2026): tick and tally - every outbound Ship's rows must tally exactly with its Ship document; rows not ticked are simply not on this vehicle.</w:t>
      </w:r>
    </w:p>
    <w:p>
      <w:pPr>
        <w:pStyle w:val="ListNumber"/>
        <w:spacing w:after="40"/>
      </w:pPr>
      <w:r>
        <w:t>Clerk enters each outbound Ship ID with its Destination Org and the totals on its Ship document: total LTR and KG (mandatory) and packages (optional extra check). The clerk then chooses where the Ship's SKU rows come from (16-Oct-2026):</w:t>
      </w:r>
    </w:p>
    <w:p>
      <w:pPr>
        <w:pStyle w:val="ListBullet"/>
        <w:spacing w:after="40"/>
      </w:pPr>
      <w:r>
        <w:t>A - Despatch Detail Report (normal): the report is uploaded once per IW (stored with SHA-256; SKU = BRAND + SHADE + PACK). Rows of the Ship's destination are listed. If they total exactly the entered LTR/KG they are all ticked; if more, the clerk ticks the Ship's rows (a 'Suggest' helper finds an exact combination); if less, the Ship cannot be completed. Rows ticked for one Ship are not offered to another.</w:t>
      </w:r>
    </w:p>
    <w:p>
      <w:pPr>
        <w:pStyle w:val="ListBullet"/>
        <w:spacing w:after="40"/>
      </w:pPr>
      <w:r>
        <w:t>B - Destination depot's SIT report (when the Despatch report is not available, e.g. ERP down): the clerk uploads the SIT shared by the destination depot as received; the app takes only that Ship's rows by Ship ID and checks that they go to the entered destination.</w:t>
      </w:r>
    </w:p>
    <w:p>
      <w:pPr>
        <w:pStyle w:val="ListBullet"/>
        <w:spacing w:after="40"/>
      </w:pPr>
      <w:r>
        <w:t>C - Manual entry: the clerk types SKU, UOM, pieces and LTR/KG from the Ship document.</w:t>
      </w:r>
    </w:p>
    <w:p>
      <w:pPr>
        <w:pStyle w:val="ListBullet"/>
        <w:spacing w:after="40"/>
      </w:pPr>
      <w:r>
        <w:t>In every case Save is accepted only when the rows tally exactly with the entered LTR and KG (and packages, if entered); a mismatch saves nothing. Loading again or re-entering replaces the Ship's rows.</w:t>
      </w:r>
    </w:p>
    <w:p>
      <w:pPr>
        <w:pStyle w:val="ListBullet"/>
        <w:spacing w:after="40"/>
      </w:pPr>
      <w:r>
        <w:t>A Ship ID can be on only one live IW.</w:t>
      </w:r>
    </w:p>
    <w:p>
      <w:pPr>
        <w:pStyle w:val="ListBullet"/>
        <w:spacing w:after="40"/>
      </w:pPr>
      <w:r>
        <w:t>The ERP team has been asked to add the Ship ID to the Despatch Detail Report. When it is available, option A will take the Ship's rows by Ship ID automatically (like option B) and ticking will no longer be needed.</w:t>
      </w:r>
    </w:p>
    <w:p>
      <w:pPr>
        <w:pStyle w:val="ListNumber"/>
        <w:spacing w:after="40"/>
      </w:pPr>
      <w:r>
        <w:t>Row fingerprint (TO ORG + SKU + NOP + VOL_LTR + VOL_KG): if an identical row is already saved on another live IW within 60 days (configurable), the clerk must tick 'I checked it is a different despatch' (audited).</w:t>
      </w:r>
    </w:p>
    <w:p>
      <w:pPr>
        <w:pStyle w:val="ListNumber"/>
        <w:spacing w:after="40"/>
      </w:pPr>
      <w:r>
        <w:t>Outbound ends after successful MRA: no Screen 05, no IRR, and it never blocks depot-stock ERP processing.</w:t>
      </w:r>
    </w:p>
    <w:p>
      <w:pPr>
        <w:pStyle w:val="Heading2"/>
      </w:pPr>
      <w:r>
        <w:t>5.4 Vendor</w:t>
      </w:r>
    </w:p>
    <w:p>
      <w:pPr>
        <w:pStyle w:val="ListBullet"/>
        <w:spacing w:after="40"/>
      </w:pPr>
      <w:r>
        <w:t>Captured: Vendor Code (from Vendor master, unique per vendor), PO Number and Vendor Challan No - all mandatory.</w:t>
      </w:r>
    </w:p>
    <w:p>
      <w:pPr>
        <w:pStyle w:val="ListBullet"/>
        <w:spacing w:after="40"/>
      </w:pPr>
      <w:r>
        <w:t>Unique key: Vendor Code + normalised Vendor Challan No.</w:t>
      </w:r>
    </w:p>
    <w:p>
      <w:pPr>
        <w:pStyle w:val="ListBullet"/>
        <w:spacing w:after="40"/>
      </w:pPr>
      <w:r>
        <w:t>The clerk may upload the vendor portal report ('Challan wise Source Despatches') at arrival; SKU lines are taken from it for that challan.</w:t>
      </w:r>
    </w:p>
    <w:p>
      <w:pPr>
        <w:pStyle w:val="ListBullet"/>
        <w:spacing w:after="40"/>
      </w:pPr>
      <w:r>
        <w:t>If portal data is not available, manual SKU capture with the searchable SKU master and quantity/UOM.</w:t>
      </w:r>
    </w:p>
    <w:p>
      <w:pPr>
        <w:pStyle w:val="ListBullet"/>
        <w:spacing w:after="40"/>
      </w:pPr>
      <w:r>
        <w:t>The clerk selects the unloading warehouse (Retail or Industrial) for each vendor challan; it decides the checklist sheet (15-Oct-2026). Portal report and manual entry are the only two sources (confirmed 16-Oct-2026).</w:t>
      </w:r>
    </w:p>
    <w:p>
      <w:pPr>
        <w:pStyle w:val="ListBullet"/>
        <w:spacing w:after="40"/>
      </w:pPr>
      <w:r>
        <w:t>Vendor material may be LTR or KG based.</w:t>
      </w:r>
    </w:p>
    <w:p>
      <w:pPr>
        <w:pStyle w:val="ListBullet"/>
        <w:spacing w:after="40"/>
      </w:pPr>
      <w:r>
        <w:t>Final reconciliation is through the PO Stock Receipt No only (section 8.5), never Ship ID.</w:t>
      </w:r>
    </w:p>
    <w:p>
      <w:pPr>
        <w:pStyle w:val="Heading2"/>
      </w:pPr>
      <w:r>
        <w:t>5.5 Colour Bank (non-SIT assets)</w:t>
      </w:r>
    </w:p>
    <w:p>
      <w:pPr>
        <w:pStyle w:val="ListBullet"/>
        <w:spacing w:after="40"/>
      </w:pPr>
      <w:r>
        <w:t>Colour Bank machines are always non-SIT; any load type; inbound or outbound.</w:t>
      </w:r>
    </w:p>
    <w:p>
      <w:pPr>
        <w:pStyle w:val="ListBullet"/>
        <w:spacing w:after="40"/>
      </w:pPr>
      <w:r>
        <w:t>Challan Number is mandatory and is the primary reference. Serial Number and Asset Number fields exist and are optional.</w:t>
      </w:r>
    </w:p>
    <w:p>
      <w:pPr>
        <w:pStyle w:val="ListBullet"/>
        <w:spacing w:after="40"/>
      </w:pPr>
      <w:r>
        <w:t>The track ends at MRA. Reserved configuration flag 'Colour Bank ERP-tracked' (default OFF): switching it ON later adds receipt entry and IRR reconciliation for Colour Bank tracks without redesign.</w:t>
      </w:r>
    </w:p>
    <w:p>
      <w:pPr>
        <w:pStyle w:val="Heading2"/>
      </w:pPr>
      <w:r>
        <w:t>5.6 Non-Stock items</w:t>
      </w:r>
    </w:p>
    <w:p>
      <w:pPr>
        <w:pStyle w:val="ListBullet"/>
        <w:spacing w:after="40"/>
      </w:pPr>
      <w:r>
        <w:t>Non-Stock is a reference class that can be added to any load type (gift or promotional items often travel with stock); load type 'Others (Non-Stock)' is used when the vehicle carries only non-stock items.</w:t>
      </w:r>
    </w:p>
    <w:p>
      <w:pPr>
        <w:pStyle w:val="ListBullet"/>
        <w:spacing w:after="40"/>
      </w:pPr>
      <w:r>
        <w:t>Reference: mandatory Challan/Document No + Sender name; item lines from the Non-Stock Item master (description, unit) or free text, with quantity.</w:t>
      </w:r>
    </w:p>
    <w:p>
      <w:pPr>
        <w:pStyle w:val="ListBullet"/>
        <w:spacing w:after="40"/>
      </w:pPr>
      <w:r>
        <w:t>Physical verification with Short/Damage (damage photos mandatory); MRA printed and signed; MRA e-mail to the sender is mandatory (G04-MAIL), exactly as for stock loads.</w:t>
      </w:r>
    </w:p>
    <w:p>
      <w:pPr>
        <w:pStyle w:val="ListBullet"/>
        <w:spacing w:after="40"/>
      </w:pPr>
      <w:r>
        <w:t>No SIT, no Oracle SED memos, no ERP/IRR. Track ends at MRA. Reported in a separate Non-Stock Receipt Register.</w:t>
      </w:r>
    </w:p>
    <w:p>
      <w:pPr>
        <w:pStyle w:val="Heading1"/>
      </w:pPr>
      <w:r>
        <w:t>6. Package / Document Quantity Capture</w:t>
      </w:r>
    </w:p>
    <w:p>
      <w:pPr>
        <w:pStyle w:val="ListBullet"/>
        <w:spacing w:after="40"/>
      </w:pPr>
      <w:r>
        <w:t>For each inbound reference capture document package counts: drums, cartons/boxes, bags, loose tins/units and other package types.</w:t>
      </w:r>
    </w:p>
    <w:p>
      <w:pPr>
        <w:pStyle w:val="ListBullet"/>
        <w:spacing w:after="40"/>
      </w:pPr>
      <w:r>
        <w:t>Document LTR/KG are captured internally for reconciliation; the MRA summary emphasises package counts.</w:t>
      </w:r>
    </w:p>
    <w:p>
      <w:pPr>
        <w:pStyle w:val="ListBullet"/>
        <w:spacing w:after="40"/>
      </w:pPr>
      <w:r>
        <w:t>Total consignment weight is entered in tonnes from documents as per clerk practice (e.g. 13,256 kg as 13.2 t).</w:t>
      </w:r>
    </w:p>
    <w:p>
      <w:pPr>
        <w:pStyle w:val="ListBullet"/>
        <w:spacing w:after="40"/>
      </w:pPr>
      <w:r>
        <w:t>Unloading charge = tonnage x effective rate from the effective-dated Unloading Rate Master (current Rs 300/ton), snapshotted in the IW; never hard-coded.</w:t>
      </w:r>
    </w:p>
    <w:p>
      <w:pPr>
        <w:pStyle w:val="Heading1"/>
      </w:pPr>
      <w:r>
        <w:t>7. Screen 04 - Unloading, Physical Verification, SED &amp; MRA</w:t>
      </w:r>
    </w:p>
    <w:p>
      <w:pPr>
        <w:pStyle w:val="Heading2"/>
      </w:pPr>
      <w:r>
        <w:t>7.1 Unloading Checklist</w:t>
      </w:r>
    </w:p>
    <w:p>
      <w:pPr>
        <w:pStyle w:val="ListBullet"/>
        <w:spacing w:after="40"/>
      </w:pPr>
      <w:r>
        <w:t>The depot has two warehouses on one premises. The checklist is printed as two separate sheets, RETAIL WAREHOUSE and INDUSTRIAL WAREHOUSE, so the unloading team knows where each item goes. Each sheet keeps the section order and sorting below; outbound material stays in its own separate section.</w:t>
      </w:r>
    </w:p>
    <w:p>
      <w:pPr>
        <w:pStyle w:val="ListBullet"/>
        <w:spacing w:after="40"/>
      </w:pPr>
      <w:r>
        <w:t>Warehouse comes from the Business Line -&gt; Warehouse master: RETAIL -&gt; Retail; PROTECTON, POWDER, GI, AUTOMOTIVE -&gt; Industrial. Business line source: SIT Item BL (normal Ships), Despatch report B. LINE (outbound), SKU master (vendor, Colour Bank, Non-Stock). A business line not in the master is flagged on import and must be mapped before the checklist is printed.</w:t>
      </w:r>
    </w:p>
    <w:p>
      <w:pPr>
        <w:pStyle w:val="ListBullet"/>
        <w:spacing w:after="40"/>
      </w:pPr>
      <w:r>
        <w:t>Package-wise checklist generated from linked inbound and non-SIT material.</w:t>
      </w:r>
    </w:p>
    <w:p>
      <w:pPr>
        <w:pStyle w:val="ListBullet"/>
        <w:spacing w:after="40"/>
      </w:pPr>
      <w:r>
        <w:t>Order of sections: cartons/boxes, drums, bags, other pack types; then 'FRESH EMPTY CONTAINERS / CARTON BOXES' (BULKPC items, counted in pieces); then Non-Stock; outbound material in a visibly separate section.</w:t>
      </w:r>
    </w:p>
    <w:p>
      <w:pPr>
        <w:pStyle w:val="ListBullet"/>
        <w:spacing w:after="40"/>
      </w:pPr>
      <w:r>
        <w:t>Piece-to-package conversion via SKU Packaging Master: 1 L SKU, 6 pieces/carton: 30 pieces -&gt; 5 cartons; 33 -&gt; 5 cartons + 3 loose tins.</w:t>
      </w:r>
    </w:p>
    <w:p>
      <w:pPr>
        <w:pStyle w:val="ListBullet"/>
        <w:spacing w:after="40"/>
      </w:pPr>
      <w:r>
        <w:t>SKU Packaging Master rules (15-Oct-2026): the company packaging list (Excel) is uploaded with a preview and then confirmed; any authorised user may upload it or add / edit a single SKU (a reason is mandatory for an edit). Changes apply immediately and are audited; the company list overrides earlier clerk entries.</w:t>
      </w:r>
    </w:p>
    <w:p>
      <w:pPr>
        <w:pStyle w:val="ListBullet"/>
        <w:spacing w:after="40"/>
      </w:pPr>
      <w:r>
        <w:t>Drastic changes - a package-group change, a units-per-package change by a factor of 1.5 or more, or an upload changing more than 50 SKUs (configurable) - are flagged to the CFA Manager, who accepts or reverts them.</w:t>
      </w:r>
    </w:p>
    <w:p>
      <w:pPr>
        <w:pStyle w:val="ListBullet"/>
        <w:spacing w:after="40"/>
      </w:pPr>
      <w:r>
        <w:t>CARTON and CARTON BOX are one package group. Drum, barrel or bag SKUs listed with more than one unit per package (e.g. Epoxy Grout x 4) carry a 'Verify physically' flag on the checklist.</w:t>
      </w:r>
    </w:p>
    <w:p>
      <w:pPr>
        <w:pStyle w:val="ListBullet"/>
        <w:spacing w:after="40"/>
      </w:pPr>
      <w:r>
        <w:t>A SKU without packaging is printed in pieces under 'Packaging not set' (before empty packing) and listed on the checklist screen with an 'Add packaging' link; it does not block the checklist.</w:t>
      </w:r>
    </w:p>
    <w:p>
      <w:pPr>
        <w:pStyle w:val="ListBullet"/>
        <w:spacing w:after="40"/>
      </w:pPr>
      <w:r>
        <w:t>Each generated checklist is a frozen revision (R1, R2 ...); later packaging or material changes mark it out of date and the clerk regenerates it. Generation is not allowed after physical verification is recorded.</w:t>
      </w:r>
    </w:p>
    <w:p>
      <w:pPr>
        <w:pStyle w:val="ListBullet"/>
        <w:spacing w:after="40"/>
      </w:pPr>
      <w:r>
        <w:t>Sorted by pack size ascending within each package group.</w:t>
      </w:r>
    </w:p>
    <w:p>
      <w:pPr>
        <w:pStyle w:val="ListBullet"/>
        <w:spacing w:after="40"/>
      </w:pPr>
      <w:r>
        <w:t>Reconciliation always uses the full 16-character SKU; the checklist displays the Floor SKU.</w:t>
      </w:r>
    </w:p>
    <w:p>
      <w:pPr>
        <w:pStyle w:val="Heading3"/>
      </w:pPr>
      <w:r>
        <w:t>Floor SKU</w:t>
      </w:r>
    </w:p>
    <w:tbl>
      <w:tblPr>
        <w:tblStyle w:val="TableGrid"/>
        <w:tblW w:type="auto" w:w="0"/>
        <w:jc w:val="center"/>
        <w:tblLook w:firstColumn="1" w:firstRow="1" w:lastColumn="0" w:lastRow="0" w:noHBand="0" w:noVBand="1" w:val="04A0"/>
      </w:tblPr>
      <w:tblGrid>
        <w:gridCol w:w="4706"/>
        <w:gridCol w:w="4706"/>
      </w:tblGrid>
      <w:tr>
        <w:tc>
          <w:tcPr>
            <w:tcW w:type="dxa" w:w="5443"/>
            <w:shd w:val="clear" w:color="auto" w:fill="1F3A5F"/>
          </w:tcPr>
          <w:p>
            <w:r/>
            <w:r>
              <w:rPr>
                <w:b/>
                <w:color w:val="FFFFFF"/>
                <w:sz w:val="19"/>
              </w:rPr>
              <w:t>Rule</w:t>
            </w:r>
          </w:p>
        </w:tc>
        <w:tc>
          <w:tcPr>
            <w:tcW w:type="dxa" w:w="3969"/>
            <w:shd w:val="clear" w:color="auto" w:fill="1F3A5F"/>
          </w:tcPr>
          <w:p>
            <w:r/>
            <w:r>
              <w:rPr>
                <w:b/>
                <w:color w:val="FFFFFF"/>
                <w:sz w:val="19"/>
              </w:rPr>
              <w:t>Examples</w:t>
            </w:r>
          </w:p>
        </w:tc>
      </w:tr>
      <w:tr>
        <w:tc>
          <w:tcPr>
            <w:tcW w:type="dxa" w:w="5443"/>
          </w:tcPr>
          <w:p>
            <w:r/>
            <w:r>
              <w:rPr>
                <w:sz w:val="19"/>
              </w:rPr>
              <w:t>Characters 4-6 + space + characters 8-10 (1-based) of the 16-character SKU. Display and search only; never a reconciliation key; not unique.</w:t>
            </w:r>
          </w:p>
        </w:tc>
        <w:tc>
          <w:tcPr>
            <w:tcW w:type="dxa" w:w="3969"/>
          </w:tcPr>
          <w:p>
            <w:r/>
            <w:r>
              <w:rPr>
                <w:sz w:val="19"/>
              </w:rPr>
              <w:t>F007130991001000 -&gt; 713 991; F00XG90991003600 -&gt; XG9 991; F002980000020000 -&gt; 298 000</w:t>
            </w:r>
          </w:p>
        </w:tc>
      </w:tr>
      <w:tr>
        <w:tc>
          <w:tcPr>
            <w:tcW w:type="dxa" w:w="5443"/>
          </w:tcPr>
          <w:p>
            <w:r/>
            <w:r>
              <w:rPr>
                <w:sz w:val="19"/>
              </w:rPr>
              <w:t>BULKPC items show Floor SKU plus the full item code and description.</w:t>
            </w:r>
          </w:p>
        </w:tc>
        <w:tc>
          <w:tcPr>
            <w:tcW w:type="dxa" w:w="3969"/>
          </w:tcPr>
          <w:p>
            <w:r/>
            <w:r>
              <w:rPr>
                <w:sz w:val="19"/>
              </w:rPr>
              <w:t>2010370991BULKPC -&gt; 037 991 + full code</w:t>
            </w:r>
          </w:p>
        </w:tc>
      </w:tr>
    </w:tbl>
    <w:p>
      <w:pPr>
        <w:spacing w:after="40"/>
      </w:pPr>
    </w:p>
    <w:p>
      <w:pPr>
        <w:pStyle w:val="Heading2"/>
      </w:pPr>
      <w:r>
        <w:t>7.2 SED Capture</w:t>
      </w:r>
    </w:p>
    <w:p>
      <w:pPr>
        <w:pStyle w:val="ListBullet"/>
        <w:spacing w:after="40"/>
      </w:pPr>
      <w:r>
        <w:t>Short, Excess and Damage recorded at SKU level during physical verification (pieces).</w:t>
      </w:r>
    </w:p>
    <w:p>
      <w:pPr>
        <w:pStyle w:val="ListBullet"/>
        <w:spacing w:after="40"/>
      </w:pPr>
      <w:r>
        <w:t>All SED appears in the MRA. Short and Damage carry financial assessment; Excess is reported but not claimable.</w:t>
      </w:r>
    </w:p>
    <w:p>
      <w:pPr>
        <w:pStyle w:val="ListBullet"/>
        <w:spacing w:after="40"/>
      </w:pPr>
      <w:r>
        <w:t>Financial charge value is entered by the clerk; damage percentage supported; container charge applies when only the container is damaged and material is usable after decanting.</w:t>
      </w:r>
    </w:p>
    <w:p>
      <w:pPr>
        <w:pStyle w:val="ListBullet"/>
        <w:spacing w:after="40"/>
      </w:pPr>
      <w:r>
        <w:t>Container charges (current: carton Rs 50, drum Rs 150) come from the effective-dated Damage Charge Master, snapshotted into the SED record.</w:t>
      </w:r>
    </w:p>
    <w:p>
      <w:pPr>
        <w:pStyle w:val="ListBullet"/>
        <w:spacing w:after="40"/>
      </w:pPr>
      <w:r>
        <w:t>Damage remarks mandatory; Short/Excess remarks exist with editable prefilled text, not mandatory.</w:t>
      </w:r>
    </w:p>
    <w:p>
      <w:pPr>
        <w:pStyle w:val="ListBullet"/>
        <w:spacing w:after="40"/>
      </w:pPr>
      <w:r>
        <w:t>Total Claimable Value = Short Financial Loss + Damage Financial Loss.</w:t>
      </w:r>
    </w:p>
    <w:p>
      <w:pPr>
        <w:pStyle w:val="ListBullet"/>
        <w:spacing w:after="40"/>
      </w:pPr>
      <w:r>
        <w:t>Damage photographs mandatory whenever Damage Qty &gt; 0 (at least one per damaged SKU line), linked to the damage record. Captured on the mobile pages of the web application: the photo button opens the phone camera directly (Android and iPhone) at full resolution; original kept with SHA-256 plus a compressed preview.</w:t>
      </w:r>
    </w:p>
    <w:p>
      <w:pPr>
        <w:pStyle w:val="ListBullet"/>
        <w:spacing w:after="40"/>
      </w:pPr>
      <w:r>
        <w:t>Mobile pages cover the unloading checklist tick-off, SED entry and damage photos. The web application can be added to the phone's home screen like an app (PWA); no app-store install. Uploads need mobile data at the time of capture.</w:t>
      </w:r>
    </w:p>
    <w:p>
      <w:pPr>
        <w:pStyle w:val="Heading2"/>
      </w:pPr>
      <w:r>
        <w:t>7.3 SED Memos</w:t>
      </w:r>
    </w:p>
    <w:tbl>
      <w:tblPr>
        <w:tblStyle w:val="TableGrid"/>
        <w:tblW w:type="auto" w:w="0"/>
        <w:jc w:val="center"/>
        <w:tblLook w:firstColumn="1" w:firstRow="1" w:lastColumn="0" w:lastRow="0" w:noHBand="0" w:noVBand="1" w:val="04A0"/>
      </w:tblPr>
      <w:tblGrid>
        <w:gridCol w:w="4706"/>
        <w:gridCol w:w="4706"/>
      </w:tblGrid>
      <w:tr>
        <w:tc>
          <w:tcPr>
            <w:tcW w:type="dxa" w:w="2268"/>
            <w:shd w:val="clear" w:color="auto" w:fill="1F3A5F"/>
          </w:tcPr>
          <w:p>
            <w:r/>
            <w:r>
              <w:rPr>
                <w:b/>
                <w:color w:val="FFFFFF"/>
                <w:sz w:val="19"/>
              </w:rPr>
              <w:t>SED</w:t>
            </w:r>
          </w:p>
        </w:tc>
        <w:tc>
          <w:tcPr>
            <w:tcW w:type="dxa" w:w="7143"/>
            <w:shd w:val="clear" w:color="auto" w:fill="1F3A5F"/>
          </w:tcPr>
          <w:p>
            <w:r/>
            <w:r>
              <w:rPr>
                <w:b/>
                <w:color w:val="FFFFFF"/>
                <w:sz w:val="19"/>
              </w:rPr>
              <w:t>Generated Document</w:t>
            </w:r>
          </w:p>
        </w:tc>
      </w:tr>
      <w:tr>
        <w:tc>
          <w:tcPr>
            <w:tcW w:type="dxa" w:w="2268"/>
          </w:tcPr>
          <w:p>
            <w:r/>
            <w:r>
              <w:rPr>
                <w:sz w:val="19"/>
              </w:rPr>
              <w:t>Short</w:t>
            </w:r>
          </w:p>
        </w:tc>
        <w:tc>
          <w:tcPr>
            <w:tcW w:type="dxa" w:w="7143"/>
          </w:tcPr>
          <w:p>
            <w:r/>
            <w:r>
              <w:rPr>
                <w:sz w:val="19"/>
              </w:rPr>
              <w:t>Stock Outward Memo for Short Items</w:t>
            </w:r>
          </w:p>
        </w:tc>
      </w:tr>
      <w:tr>
        <w:tc>
          <w:tcPr>
            <w:tcW w:type="dxa" w:w="2268"/>
          </w:tcPr>
          <w:p>
            <w:r/>
            <w:r>
              <w:rPr>
                <w:sz w:val="19"/>
              </w:rPr>
              <w:t>Excess</w:t>
            </w:r>
          </w:p>
        </w:tc>
        <w:tc>
          <w:tcPr>
            <w:tcW w:type="dxa" w:w="7143"/>
          </w:tcPr>
          <w:p>
            <w:r/>
            <w:r>
              <w:rPr>
                <w:sz w:val="19"/>
              </w:rPr>
              <w:t>Stock Inward Memo for Excess Items</w:t>
            </w:r>
          </w:p>
        </w:tc>
      </w:tr>
      <w:tr>
        <w:tc>
          <w:tcPr>
            <w:tcW w:type="dxa" w:w="2268"/>
          </w:tcPr>
          <w:p>
            <w:r/>
            <w:r>
              <w:rPr>
                <w:sz w:val="19"/>
              </w:rPr>
              <w:t>Damage</w:t>
            </w:r>
          </w:p>
        </w:tc>
        <w:tc>
          <w:tcPr>
            <w:tcW w:type="dxa" w:w="7143"/>
          </w:tcPr>
          <w:p>
            <w:r/>
            <w:r>
              <w:rPr>
                <w:sz w:val="19"/>
              </w:rPr>
              <w:t>Subinventory Transfer Memo for Damaged Materials</w:t>
            </w:r>
          </w:p>
        </w:tc>
      </w:tr>
    </w:tbl>
    <w:p>
      <w:pPr>
        <w:spacing w:after="40"/>
      </w:pPr>
    </w:p>
    <w:p>
      <w:pPr>
        <w:pStyle w:val="ListBullet"/>
        <w:spacing w:after="40"/>
      </w:pPr>
      <w:r>
        <w:t>Applicable memos are generated and printed with the MRA and handed to the System Supervisor for ERP action.</w:t>
      </w:r>
    </w:p>
    <w:p>
      <w:pPr>
        <w:pStyle w:val="ListBullet"/>
        <w:spacing w:after="40"/>
      </w:pPr>
      <w:r>
        <w:t>The System Supervisor passes the Oracle transaction and provides TRX No(s) for entry.</w:t>
      </w:r>
    </w:p>
    <w:p>
      <w:pPr>
        <w:pStyle w:val="ListBullet"/>
        <w:spacing w:after="40"/>
      </w:pPr>
      <w:r>
        <w:t>For Direct Factory Ships with LSCRR applied, Short and Damage memos are marked 'LSCRR-covered - no separate TRX expected'; Excess is handled by a separate Excess Receipt (section 8.3).</w:t>
      </w:r>
    </w:p>
    <w:p>
      <w:pPr>
        <w:pStyle w:val="Heading2"/>
      </w:pPr>
      <w:r>
        <w:t>7.4 Materials Receipt Acknowledgment (MRA)</w:t>
      </w:r>
    </w:p>
    <w:p>
      <w:pPr>
        <w:pStyle w:val="ListBullet"/>
        <w:spacing w:after="40"/>
      </w:pPr>
      <w:r>
        <w:t>Shows Origin Org, Source/Transit as applicable, vehicle, transporter, LR, driver name/contact, package counts, SED summary and financial values, unloading amount/payment method/status and acknowledgements.</w:t>
      </w:r>
    </w:p>
    <w:p>
      <w:pPr>
        <w:pStyle w:val="ListBullet"/>
        <w:spacing w:after="40"/>
      </w:pPr>
      <w:r>
        <w:t>Does not list the full SKU detail of the consignment and does not print the unloading rate.</w:t>
      </w:r>
    </w:p>
    <w:p>
      <w:pPr>
        <w:pStyle w:val="ListBullet"/>
        <w:spacing w:after="40"/>
      </w:pPr>
      <w:r>
        <w:t>Header shows, under the depot code and name: 'Operated by: RAINBOW LOGISTICS (CFA)' from the Depot master. The same line appears on the unloading checklist, SED memos, IRR Reconciliation Report and outgoing e-mail signatures; the depot seal block reads 'For RAINBOW LOGISTICS, CFA - Coimbatore Depot 035'.</w:t>
      </w:r>
    </w:p>
    <w:p>
      <w:pPr>
        <w:pStyle w:val="ListBullet"/>
        <w:spacing w:after="40"/>
      </w:pPr>
      <w:r>
        <w:t>Package counts are shown per warehouse (Retail / Industrial). Two physical copies: driver signs both; depot signs/seals both; one to driver, one retained for scan.</w:t>
      </w:r>
    </w:p>
    <w:p>
      <w:pPr>
        <w:pStyle w:val="ListBullet"/>
        <w:spacing w:after="40"/>
      </w:pPr>
      <w:r>
        <w:t>Generated server-side as PDF (WeasyPrint, from Django HTML templates), versioned (MRA R01, R02...); every print audit logged.</w:t>
      </w:r>
    </w:p>
    <w:p>
      <w:pPr>
        <w:pStyle w:val="Heading2"/>
      </w:pPr>
      <w:r>
        <w:t>7.5 Unloading Settlement</w:t>
      </w:r>
    </w:p>
    <w:p>
      <w:pPr>
        <w:pStyle w:val="ListBullet"/>
        <w:spacing w:after="40"/>
      </w:pPr>
      <w:r>
        <w:t>Recording unloading amount and financial position is mandatory before Screen 04 completes.</w:t>
      </w:r>
    </w:p>
    <w:p>
      <w:pPr>
        <w:pStyle w:val="ListBullet"/>
        <w:spacing w:after="40"/>
      </w:pPr>
      <w:r>
        <w:t>Payment: Paid, Part Paid, Outstanding/Transporter Ledger, or Exempt/Nil (requested by clerk, approved by CFA Manager).</w:t>
      </w:r>
    </w:p>
    <w:p>
      <w:pPr>
        <w:pStyle w:val="ListBullet"/>
        <w:spacing w:after="40"/>
      </w:pPr>
      <w:r>
        <w:t>Outstanding payment correctly posted to the transporter ledger does not block IW closure; the ledger continues independently.</w:t>
      </w:r>
    </w:p>
    <w:p>
      <w:pPr>
        <w:pStyle w:val="Heading2"/>
      </w:pPr>
      <w:r>
        <w:t>7.6 Mandatory Communications</w:t>
      </w:r>
    </w:p>
    <w:p>
      <w:pPr>
        <w:pStyle w:val="ListBullet"/>
        <w:spacing w:after="40"/>
      </w:pPr>
      <w:r>
        <w:t>MRA e-mail to the Source Org is mandatory with SENT evidence (section 14.2); generation/printing alone is insufficient.</w:t>
      </w:r>
    </w:p>
    <w:p>
      <w:pPr>
        <w:pStyle w:val="ListBullet"/>
        <w:spacing w:after="40"/>
      </w:pPr>
      <w:r>
        <w:t>This applies to every IW and every load type, including Others (Non-Stock). If the Source Org or sender has no e-mail mapping, the MRA screen requires the clerk to enter it on the spot; the MRA cannot be sent, and the IW cannot move on, without it.</w:t>
      </w:r>
    </w:p>
    <w:p>
      <w:pPr>
        <w:pStyle w:val="ListBullet"/>
        <w:spacing w:after="40"/>
      </w:pPr>
      <w:r>
        <w:t>A clerk-entered address is used immediately and marked 'Unverified'. The CFA Manager confirms or corrects it from the dashboard; later IWs use the confirmed address. Non-Stock senders are kept in the Sender master.</w:t>
      </w:r>
    </w:p>
    <w:p>
      <w:pPr>
        <w:pStyle w:val="ListBullet"/>
        <w:spacing w:after="40"/>
      </w:pPr>
      <w:r>
        <w:t>The MRA PDF is always attached to the MRA e-mail.</w:t>
      </w:r>
    </w:p>
    <w:p>
      <w:pPr>
        <w:pStyle w:val="ListBullet"/>
        <w:spacing w:after="40"/>
      </w:pPr>
      <w:r>
        <w:t>For every IW with any SED, an internal notification to Depot Manager, Admin Officer and CFA Manager is mandatory at the same time (recipients from Notification Master; cannot be removed by the clerk).</w:t>
      </w:r>
    </w:p>
    <w:p>
      <w:pPr>
        <w:pStyle w:val="ListBullet"/>
        <w:spacing w:after="40"/>
      </w:pPr>
      <w:r>
        <w:t>SED notification contains IW/MRA/vehicle/source/Ship ID references, SED quantities, financial values, Total Claimable Value and damage evidence.</w:t>
      </w:r>
    </w:p>
    <w:p>
      <w:pPr>
        <w:pStyle w:val="ListBullet"/>
        <w:spacing w:after="40"/>
      </w:pPr>
      <w:r>
        <w:t>Evidence kept in the IW bundle: recipients, CC, subject, sent timestamp, body, attachments with hashes, Internet Message-ID and a complete .eml copy of the sent message taken from Gmail Sent Mail.</w:t>
      </w:r>
    </w:p>
    <w:p>
      <w:pPr>
        <w:pStyle w:val="Heading2"/>
      </w:pPr>
      <w:r>
        <w:t>7.7 Screen 04 Hard Gates</w:t>
      </w:r>
    </w:p>
    <w:tbl>
      <w:tblPr>
        <w:tblStyle w:val="TableGrid"/>
        <w:tblW w:type="auto" w:w="0"/>
        <w:jc w:val="center"/>
        <w:tblLook w:firstColumn="1" w:firstRow="1" w:lastColumn="0" w:lastRow="0" w:noHBand="0" w:noVBand="1" w:val="04A0"/>
      </w:tblPr>
      <w:tblGrid>
        <w:gridCol w:w="4706"/>
        <w:gridCol w:w="4706"/>
      </w:tblGrid>
      <w:tr>
        <w:tc>
          <w:tcPr>
            <w:tcW w:type="dxa" w:w="1701"/>
            <w:shd w:val="clear" w:color="auto" w:fill="1F3A5F"/>
          </w:tcPr>
          <w:p>
            <w:r/>
            <w:r>
              <w:rPr>
                <w:b/>
                <w:color w:val="FFFFFF"/>
                <w:sz w:val="19"/>
              </w:rPr>
              <w:t>Gate</w:t>
            </w:r>
          </w:p>
        </w:tc>
        <w:tc>
          <w:tcPr>
            <w:tcW w:type="dxa" w:w="7710"/>
            <w:shd w:val="clear" w:color="auto" w:fill="1F3A5F"/>
          </w:tcPr>
          <w:p>
            <w:r/>
            <w:r>
              <w:rPr>
                <w:b/>
                <w:color w:val="FFFFFF"/>
                <w:sz w:val="19"/>
              </w:rPr>
              <w:t>Condition</w:t>
            </w:r>
          </w:p>
        </w:tc>
      </w:tr>
      <w:tr>
        <w:tc>
          <w:tcPr>
            <w:tcW w:type="dxa" w:w="1701"/>
          </w:tcPr>
          <w:p>
            <w:r/>
            <w:r>
              <w:rPr>
                <w:sz w:val="19"/>
              </w:rPr>
              <w:t>G04-DMG</w:t>
            </w:r>
          </w:p>
        </w:tc>
        <w:tc>
          <w:tcPr>
            <w:tcW w:type="dxa" w:w="7710"/>
          </w:tcPr>
          <w:p>
            <w:r/>
            <w:r>
              <w:rPr>
                <w:sz w:val="19"/>
              </w:rPr>
              <w:t>If damage exists: photo evidence and damage remarks complete.</w:t>
            </w:r>
          </w:p>
        </w:tc>
      </w:tr>
      <w:tr>
        <w:tc>
          <w:tcPr>
            <w:tcW w:type="dxa" w:w="1701"/>
          </w:tcPr>
          <w:p>
            <w:r/>
            <w:r>
              <w:rPr>
                <w:sz w:val="19"/>
              </w:rPr>
              <w:t>G04-ULC</w:t>
            </w:r>
          </w:p>
        </w:tc>
        <w:tc>
          <w:tcPr>
            <w:tcW w:type="dxa" w:w="7710"/>
          </w:tcPr>
          <w:p>
            <w:r/>
            <w:r>
              <w:rPr>
                <w:sz w:val="19"/>
              </w:rPr>
              <w:t>Unloading amount and payment/ledger position recorded.</w:t>
            </w:r>
          </w:p>
        </w:tc>
      </w:tr>
      <w:tr>
        <w:tc>
          <w:tcPr>
            <w:tcW w:type="dxa" w:w="1701"/>
          </w:tcPr>
          <w:p>
            <w:r/>
            <w:r>
              <w:rPr>
                <w:sz w:val="19"/>
              </w:rPr>
              <w:t>G04-MAIL</w:t>
            </w:r>
          </w:p>
        </w:tc>
        <w:tc>
          <w:tcPr>
            <w:tcW w:type="dxa" w:w="7710"/>
          </w:tcPr>
          <w:p>
            <w:r/>
            <w:r>
              <w:rPr>
                <w:sz w:val="19"/>
              </w:rPr>
              <w:t>MRA e-mail has SENT evidence.</w:t>
            </w:r>
          </w:p>
        </w:tc>
      </w:tr>
      <w:tr>
        <w:tc>
          <w:tcPr>
            <w:tcW w:type="dxa" w:w="1701"/>
          </w:tcPr>
          <w:p>
            <w:r/>
            <w:r>
              <w:rPr>
                <w:sz w:val="19"/>
              </w:rPr>
              <w:t>G04-SEDMAIL</w:t>
            </w:r>
          </w:p>
        </w:tc>
        <w:tc>
          <w:tcPr>
            <w:tcW w:type="dxa" w:w="7710"/>
          </w:tcPr>
          <w:p>
            <w:r/>
            <w:r>
              <w:rPr>
                <w:sz w:val="19"/>
              </w:rPr>
              <w:t>If SED exists: internal SED notification to all three mandatory recipients has SENT evidence.</w:t>
            </w:r>
          </w:p>
        </w:tc>
      </w:tr>
    </w:tbl>
    <w:p>
      <w:pPr>
        <w:spacing w:after="40"/>
      </w:pPr>
    </w:p>
    <w:p>
      <w:pPr>
        <w:pStyle w:val="ListBullet"/>
        <w:spacing w:after="40"/>
      </w:pPr>
      <w:r>
        <w:t>Save Draft / Exit is always permitted. Transition to ERP processing is blocked until every applicable gate passes.</w:t>
      </w:r>
    </w:p>
    <w:p>
      <w:pPr>
        <w:pStyle w:val="ListBullet"/>
        <w:spacing w:after="40"/>
      </w:pPr>
      <w:r>
        <w:t>Mail-Pending Release: if a mandatory mail stays unsent for more than 2 hours (configurable), the CFA Manager may release the IW to ERP processing with a mandatory reason. The mail stays queued; IW closure remains blocked until SENT; the IW appears in daily escalation until sent.</w:t>
      </w:r>
    </w:p>
    <w:p>
      <w:pPr>
        <w:pStyle w:val="ListBullet"/>
        <w:spacing w:after="40"/>
      </w:pPr>
      <w:r>
        <w:t>Physical process is never blocked by mail: MRA printing, driver signature and hand-over always continue.</w:t>
      </w:r>
    </w:p>
    <w:p>
      <w:pPr>
        <w:pStyle w:val="Heading2"/>
        <w:spacing w:after="40"/>
      </w:pPr>
      <w:r>
        <w:t>7.8 Depot Manager Approval of SED</w:t>
      </w:r>
    </w:p>
    <w:p>
      <w:pPr>
        <w:pStyle w:val="ListBullet"/>
        <w:spacing w:after="40"/>
      </w:pPr>
      <w:r>
        <w:t>Every IW with any Short, Excess or Damage needs a separate approval from the Depot Manager, with the Admin Officer in CC. The approval is tracked and clearly shown, but it does not block the Oracle SED entry, the MRA or IW closure.</w:t>
      </w:r>
    </w:p>
    <w:p>
      <w:pPr>
        <w:pStyle w:val="ListBullet"/>
        <w:spacing w:after="40"/>
      </w:pPr>
      <w:r>
        <w:t>Request: when Screen 04 completes, the app sends an 'SED Approval Request' e-mail To Depot Manager, CC Admin Officer (from the Notification Master), with IW / MRA / vehicle / Source references, every SED line, financial values, Total Claimable Value and damage photos. Subject tag: [SED-APPR IW-2627-000123 R01].</w:t>
      </w:r>
    </w:p>
    <w:p>
      <w:pPr>
        <w:pStyle w:val="ListBullet"/>
        <w:spacing w:after="40"/>
      </w:pPr>
      <w:r>
        <w:t>Approval by e-mail reply: the Depot Manager replies with APPROVED, or REJECTED plus a reason, on the first line. The worker reads the reply from the Gmail inbox, matches it by the subject tag, and accepts it only if it comes from the Depot Manager's registered address and passes Gmail sender authentication (SPF/DKIM). The full reply (.eml) is stored in the IW document bundle.</w:t>
      </w:r>
    </w:p>
    <w:p>
      <w:pPr>
        <w:pStyle w:val="ListBullet"/>
        <w:spacing w:after="40"/>
      </w:pPr>
      <w:r>
        <w:t>Fallback: if the Depot Manager approved from another address or another channel, the clerk uploads the approval e-mail (.eml or PDF); it shows 'Manual evidence - awaiting check' until the CFA Manager accepts it.</w:t>
      </w:r>
    </w:p>
    <w:p>
      <w:pPr>
        <w:pStyle w:val="ListBullet"/>
        <w:spacing w:after="40"/>
      </w:pPr>
      <w:r>
        <w:t>Status shown on every SED IW: Approval requested (with age) / Approved - mail on file / Rejected - correction needed / Manual evidence - awaiting check.</w:t>
      </w:r>
    </w:p>
    <w:p>
      <w:pPr>
        <w:pStyle w:val="ListBullet"/>
        <w:spacing w:after="40"/>
      </w:pPr>
      <w:r>
        <w:t>Rejected: the clerk corrects the SED; this creates a new MRA revision (R02) and a fresh approval request.</w:t>
      </w:r>
    </w:p>
    <w:p>
      <w:pPr>
        <w:pStyle w:val="ListBullet"/>
        <w:spacing w:after="40"/>
      </w:pPr>
      <w:r>
        <w:t>Approval evidence that arrives after the IW is closed is attached to the closed IW automatically (append-only, audited), without reopening it.</w:t>
      </w:r>
    </w:p>
    <w:p>
      <w:pPr>
        <w:pStyle w:val="ListBullet"/>
        <w:spacing w:after="40"/>
      </w:pPr>
      <w:r>
        <w:t>Follow-up: an automatic reminder goes to the Depot Manager after 24 hours (configurable). Pending approvals appear on the dashboard and in the daily escalation report.</w:t>
      </w:r>
    </w:p>
    <w:p>
      <w:pPr>
        <w:pStyle w:val="Heading1"/>
      </w:pPr>
      <w:r>
        <w:t>8. Screen 05 - ERP Receipt, IRR Reconciliation &amp; Closure</w:t>
      </w:r>
    </w:p>
    <w:p>
      <w:pPr>
        <w:pStyle w:val="Heading2"/>
      </w:pPr>
      <w:r>
        <w:t>8.1 Receipt Entry</w:t>
      </w:r>
    </w:p>
    <w:p>
      <w:pPr>
        <w:pStyle w:val="ListBullet"/>
        <w:spacing w:after="40"/>
      </w:pPr>
      <w:r>
        <w:t>Each inbound Ship ID has Stock Receipt No field(s); one Ship -&gt; many receipts is supported.</w:t>
      </w:r>
    </w:p>
    <w:p>
      <w:pPr>
        <w:pStyle w:val="ListBullet"/>
        <w:spacing w:after="40"/>
      </w:pPr>
      <w:r>
        <w:t>Entering a receipt means 'ERP receipt recorded - IRR verification pending'; it never proves completion.</w:t>
      </w:r>
    </w:p>
    <w:p>
      <w:pPr>
        <w:pStyle w:val="ListBullet"/>
        <w:spacing w:after="40"/>
      </w:pPr>
      <w:r>
        <w:t>Receipt kinds: Normal Receipt, Excess Receipt (LSCRR Ships), PO Receipt (vendor). SED memos take one or many TRX numbers.</w:t>
      </w:r>
    </w:p>
    <w:p>
      <w:pPr>
        <w:pStyle w:val="ListBullet"/>
        <w:spacing w:after="40"/>
      </w:pPr>
      <w:r>
        <w:t>LSCRR mode change after ERP entry requires the System Supervisor, with reason; audited.</w:t>
      </w:r>
    </w:p>
    <w:p>
      <w:pPr>
        <w:pStyle w:val="Heading2"/>
      </w:pPr>
      <w:r>
        <w:t>8.2 IRR Import Engine</w:t>
      </w:r>
    </w:p>
    <w:p>
      <w:pPr>
        <w:spacing w:after="80"/>
      </w:pPr>
      <w:r>
        <w:rPr>
          <w:i w:val="0"/>
        </w:rPr>
        <w:t>IRR = Oracle 'ISSUE/RECEIPT Register' for org 035. Manual upload of .xls/.xlsx. Import is atomic: validate -&gt; normalise -&gt; deduplicate -&gt; commit.</w:t>
      </w:r>
    </w:p>
    <w:p>
      <w:pPr>
        <w:pStyle w:val="ListBullet"/>
        <w:spacing w:after="40"/>
      </w:pPr>
      <w:r>
        <w:t>Header located by normalised names (sample: row 7). Columns: Type, TRX Number, TRX Date, Excise Invoice Date, Excise Invoice Number, Source SUB INV, Lot Number, Source Locator, Destination SUB INV, Destination Locator, Reason Code, Reason Description, Shipping ID Date, Shipping ID Number, Item Description, Item Code, No of Pack, Volume LTR, Weight KG, Transaction type.</w:t>
      </w:r>
    </w:p>
    <w:p>
      <w:pPr>
        <w:pStyle w:val="ListBullet"/>
        <w:spacing w:after="40"/>
      </w:pPr>
      <w:r>
        <w:t>Each import: immutable batch ID, filename, SHA-256, uploader/time, row counts, report From/To dates, status. Identical file -&gt; 'Already imported'.</w:t>
      </w:r>
    </w:p>
    <w:p>
      <w:pPr>
        <w:pStyle w:val="ListBullet"/>
        <w:spacing w:after="40"/>
      </w:pPr>
      <w:r>
        <w:t>Raw rows and normalised transactions are both kept. Reconciliation uses all accumulated accepted IRR history.</w:t>
      </w:r>
    </w:p>
    <w:p>
      <w:pPr>
        <w:pStyle w:val="ListBullet"/>
        <w:spacing w:after="40"/>
      </w:pPr>
      <w:r>
        <w:t>IRR upload never closes anything automatically; reconciliation is clerk-triggered (or scheduled, results only).</w:t>
      </w:r>
    </w:p>
    <w:tbl>
      <w:tblPr>
        <w:tblStyle w:val="TableGrid"/>
        <w:tblW w:type="auto" w:w="0"/>
        <w:jc w:val="center"/>
        <w:tblLook w:firstColumn="1" w:firstRow="1" w:lastColumn="0" w:lastRow="0" w:noHBand="0" w:noVBand="1" w:val="04A0"/>
      </w:tblPr>
      <w:tblGrid>
        <w:gridCol w:w="4706"/>
        <w:gridCol w:w="4706"/>
      </w:tblGrid>
      <w:tr>
        <w:tc>
          <w:tcPr>
            <w:tcW w:type="dxa" w:w="2154"/>
            <w:shd w:val="clear" w:color="auto" w:fill="1F3A5F"/>
          </w:tcPr>
          <w:p>
            <w:r/>
            <w:r>
              <w:rPr>
                <w:b/>
                <w:color w:val="FFFFFF"/>
                <w:sz w:val="19"/>
              </w:rPr>
              <w:t>Topic</w:t>
            </w:r>
          </w:p>
        </w:tc>
        <w:tc>
          <w:tcPr>
            <w:tcW w:type="dxa" w:w="7257"/>
            <w:shd w:val="clear" w:color="auto" w:fill="1F3A5F"/>
          </w:tcPr>
          <w:p>
            <w:r/>
            <w:r>
              <w:rPr>
                <w:b/>
                <w:color w:val="FFFFFF"/>
                <w:sz w:val="19"/>
              </w:rPr>
              <w:t>Rule</w:t>
            </w:r>
          </w:p>
        </w:tc>
      </w:tr>
      <w:tr>
        <w:tc>
          <w:tcPr>
            <w:tcW w:type="dxa" w:w="2154"/>
          </w:tcPr>
          <w:p>
            <w:r/>
            <w:r>
              <w:rPr>
                <w:sz w:val="19"/>
              </w:rPr>
              <w:t>Legitimate identical rows</w:t>
            </w:r>
          </w:p>
        </w:tc>
        <w:tc>
          <w:tcPr>
            <w:tcW w:type="dxa" w:w="7257"/>
          </w:tcPr>
          <w:p>
            <w:r/>
            <w:r>
              <w:rPr>
                <w:sz w:val="19"/>
              </w:rPr>
              <w:t>Exact duplicate rows occur legitimately (2,153 in the sample: same TRX, lot, locator, quantity). Never deduplicate by row content.</w:t>
            </w:r>
          </w:p>
        </w:tc>
      </w:tr>
      <w:tr>
        <w:tc>
          <w:tcPr>
            <w:tcW w:type="dxa" w:w="2154"/>
          </w:tcPr>
          <w:p>
            <w:r/>
            <w:r>
              <w:rPr>
                <w:sz w:val="19"/>
              </w:rPr>
              <w:t>Dedup unit</w:t>
            </w:r>
          </w:p>
        </w:tc>
        <w:tc>
          <w:tcPr>
            <w:tcW w:type="dxa" w:w="7257"/>
          </w:tcPr>
          <w:p>
            <w:r/>
            <w:r>
              <w:rPr>
                <w:sz w:val="19"/>
              </w:rPr>
              <w:t>Group = (Type, TRX Number, TRX Date), stored as a multiset of rows. A receipt may span several TRX dates (84 in the sample).</w:t>
            </w:r>
          </w:p>
        </w:tc>
      </w:tr>
      <w:tr>
        <w:tc>
          <w:tcPr>
            <w:tcW w:type="dxa" w:w="2154"/>
          </w:tcPr>
          <w:p>
            <w:r/>
            <w:r>
              <w:rPr>
                <w:sz w:val="19"/>
              </w:rPr>
              <w:t>Overlapping file</w:t>
            </w:r>
          </w:p>
        </w:tc>
        <w:tc>
          <w:tcPr>
            <w:tcW w:type="dxa" w:w="7257"/>
          </w:tcPr>
          <w:p>
            <w:r/>
            <w:r>
              <w:rPr>
                <w:sz w:val="19"/>
              </w:rPr>
              <w:t>Identical group -&gt; skip; superset (later rows of the same day) -&gt; add only extra rows; subset -&gt; skip; otherwise -&gt; REVIEW, not applied.</w:t>
            </w:r>
          </w:p>
        </w:tc>
      </w:tr>
      <w:tr>
        <w:tc>
          <w:tcPr>
            <w:tcW w:type="dxa" w:w="2154"/>
          </w:tcPr>
          <w:p>
            <w:r/>
            <w:r>
              <w:rPr>
                <w:sz w:val="19"/>
              </w:rPr>
              <w:t>Incomplete last day</w:t>
            </w:r>
          </w:p>
        </w:tc>
        <w:tc>
          <w:tcPr>
            <w:tcW w:type="dxa" w:w="7257"/>
          </w:tcPr>
          <w:p>
            <w:r/>
            <w:r>
              <w:rPr>
                <w:sz w:val="19"/>
              </w:rPr>
              <w:t>If the report To-date equals its run date, that day is 'possibly incomplete' and may be completed by a later file.</w:t>
            </w:r>
          </w:p>
        </w:tc>
      </w:tr>
      <w:tr>
        <w:tc>
          <w:tcPr>
            <w:tcW w:type="dxa" w:w="2154"/>
          </w:tcPr>
          <w:p>
            <w:r/>
            <w:r>
              <w:rPr>
                <w:sz w:val="19"/>
              </w:rPr>
              <w:t>Zero rows</w:t>
            </w:r>
          </w:p>
        </w:tc>
        <w:tc>
          <w:tcPr>
            <w:tcW w:type="dxa" w:w="7257"/>
          </w:tcPr>
          <w:p>
            <w:r/>
            <w:r>
              <w:rPr>
                <w:sz w:val="19"/>
              </w:rPr>
              <w:t>Residual Qty rows with zero quantity are stored raw but excluded from reconciliation.</w:t>
            </w:r>
          </w:p>
        </w:tc>
      </w:tr>
      <w:tr>
        <w:tc>
          <w:tcPr>
            <w:tcW w:type="dxa" w:w="2154"/>
          </w:tcPr>
          <w:p>
            <w:r/>
            <w:r>
              <w:rPr>
                <w:sz w:val="19"/>
              </w:rPr>
              <w:t>Measure</w:t>
            </w:r>
          </w:p>
        </w:tc>
        <w:tc>
          <w:tcPr>
            <w:tcW w:type="dxa" w:w="7257"/>
          </w:tcPr>
          <w:p>
            <w:r/>
            <w:r>
              <w:rPr>
                <w:sz w:val="19"/>
              </w:rPr>
              <w:t>Each IRR row carries Volume LTR or Weight KG, never both. Volume-family SKUs compare LTR, weight-family SKUs compare KG; No of Pack always compared.</w:t>
            </w:r>
          </w:p>
        </w:tc>
      </w:tr>
      <w:tr>
        <w:tc>
          <w:tcPr>
            <w:tcW w:type="dxa" w:w="2154"/>
          </w:tcPr>
          <w:p>
            <w:r/>
            <w:r>
              <w:rPr>
                <w:sz w:val="19"/>
              </w:rPr>
              <w:t>Number series</w:t>
            </w:r>
          </w:p>
        </w:tc>
        <w:tc>
          <w:tcPr>
            <w:tcW w:type="dxa" w:w="7257"/>
          </w:tcPr>
          <w:p>
            <w:r/>
            <w:r>
              <w:rPr>
                <w:sz w:val="19"/>
              </w:rPr>
              <w:t>Stock Receipt, PO Receipt and RMA receipts share one number series (e.g. 42xxx-43xxx); matching always checks Type.</w:t>
            </w:r>
          </w:p>
        </w:tc>
      </w:tr>
    </w:tbl>
    <w:p>
      <w:pPr>
        <w:spacing w:after="40"/>
      </w:pPr>
    </w:p>
    <w:p>
      <w:pPr>
        <w:pStyle w:val="Heading2"/>
      </w:pPr>
      <w:r>
        <w:t>8.3 Expectation Model</w:t>
      </w:r>
    </w:p>
    <w:tbl>
      <w:tblPr>
        <w:tblStyle w:val="TableGrid"/>
        <w:tblW w:type="auto" w:w="0"/>
        <w:jc w:val="center"/>
        <w:tblLook w:firstColumn="1" w:firstRow="1" w:lastColumn="0" w:lastRow="0" w:noHBand="0" w:noVBand="1" w:val="04A0"/>
      </w:tblPr>
      <w:tblGrid>
        <w:gridCol w:w="3137"/>
        <w:gridCol w:w="3137"/>
        <w:gridCol w:w="3137"/>
      </w:tblGrid>
      <w:tr>
        <w:tc>
          <w:tcPr>
            <w:tcW w:type="dxa" w:w="2494"/>
            <w:shd w:val="clear" w:color="auto" w:fill="1F3A5F"/>
          </w:tcPr>
          <w:p>
            <w:r/>
            <w:r>
              <w:rPr>
                <w:b/>
                <w:color w:val="FFFFFF"/>
                <w:sz w:val="19"/>
              </w:rPr>
              <w:t>Scenario</w:t>
            </w:r>
          </w:p>
        </w:tc>
        <w:tc>
          <w:tcPr>
            <w:tcW w:type="dxa" w:w="2948"/>
            <w:shd w:val="clear" w:color="auto" w:fill="1F3A5F"/>
          </w:tcPr>
          <w:p>
            <w:r/>
            <w:r>
              <w:rPr>
                <w:b/>
                <w:color w:val="FFFFFF"/>
                <w:sz w:val="19"/>
              </w:rPr>
              <w:t>Expected receipt in IRR</w:t>
            </w:r>
          </w:p>
        </w:tc>
        <w:tc>
          <w:tcPr>
            <w:tcW w:type="dxa" w:w="3969"/>
            <w:shd w:val="clear" w:color="auto" w:fill="1F3A5F"/>
          </w:tcPr>
          <w:p>
            <w:r/>
            <w:r>
              <w:rPr>
                <w:b/>
                <w:color w:val="FFFFFF"/>
                <w:sz w:val="19"/>
              </w:rPr>
              <w:t>Expected SED transactions</w:t>
            </w:r>
          </w:p>
        </w:tc>
      </w:tr>
      <w:tr>
        <w:tc>
          <w:tcPr>
            <w:tcW w:type="dxa" w:w="2494"/>
          </w:tcPr>
          <w:p>
            <w:r/>
            <w:r>
              <w:rPr>
                <w:sz w:val="19"/>
              </w:rPr>
              <w:t>A. Direct Factory, LSCRR applied</w:t>
            </w:r>
          </w:p>
        </w:tc>
        <w:tc>
          <w:tcPr>
            <w:tcW w:type="dxa" w:w="2948"/>
          </w:tcPr>
          <w:p>
            <w:r/>
            <w:r>
              <w:rPr>
                <w:sz w:val="19"/>
              </w:rPr>
              <w:t>Document - Short - Damage (50 doc, 2 short, 1 damage -&gt; 47)</w:t>
            </w:r>
          </w:p>
        </w:tc>
        <w:tc>
          <w:tcPr>
            <w:tcW w:type="dxa" w:w="3969"/>
          </w:tcPr>
          <w:p>
            <w:r/>
            <w:r>
              <w:rPr>
                <w:sz w:val="19"/>
              </w:rPr>
              <w:t>Short and Damage carried by LSCRR; no separate TRX. Excess: separate Excess Receipt No entered by the clerk and reconciled with IRR (expected = SKU-level excess).</w:t>
            </w:r>
          </w:p>
        </w:tc>
      </w:tr>
      <w:tr>
        <w:tc>
          <w:tcPr>
            <w:tcW w:type="dxa" w:w="2494"/>
          </w:tcPr>
          <w:p>
            <w:r/>
            <w:r>
              <w:rPr>
                <w:sz w:val="19"/>
              </w:rPr>
              <w:t>B. Direct Factory, LSCRR not applied/updated</w:t>
            </w:r>
          </w:p>
        </w:tc>
        <w:tc>
          <w:tcPr>
            <w:tcW w:type="dxa" w:w="2948"/>
          </w:tcPr>
          <w:p>
            <w:r/>
            <w:r>
              <w:rPr>
                <w:sz w:val="19"/>
              </w:rPr>
              <w:t>Full document quantity (50)</w:t>
            </w:r>
          </w:p>
        </w:tc>
        <w:tc>
          <w:tcPr>
            <w:tcW w:type="dxa" w:w="3969"/>
          </w:tcPr>
          <w:p>
            <w:r/>
            <w:r>
              <w:rPr>
                <w:sz w:val="19"/>
              </w:rPr>
              <w:t>Short -&gt; issue TRX; Excess -&gt; receipt TRX; Damage -&gt; subinventory transfer to DMG.</w:t>
            </w:r>
          </w:p>
        </w:tc>
      </w:tr>
      <w:tr>
        <w:tc>
          <w:tcPr>
            <w:tcW w:type="dxa" w:w="2494"/>
          </w:tcPr>
          <w:p>
            <w:r/>
            <w:r>
              <w:rPr>
                <w:sz w:val="19"/>
              </w:rPr>
              <w:t>C. Depot / RDC / Inter-Depot / Inbound Transhipment</w:t>
            </w:r>
          </w:p>
        </w:tc>
        <w:tc>
          <w:tcPr>
            <w:tcW w:type="dxa" w:w="2948"/>
          </w:tcPr>
          <w:p>
            <w:r/>
            <w:r>
              <w:rPr>
                <w:sz w:val="19"/>
              </w:rPr>
              <w:t>Full document quantity</w:t>
            </w:r>
          </w:p>
        </w:tc>
        <w:tc>
          <w:tcPr>
            <w:tcW w:type="dxa" w:w="3969"/>
          </w:tcPr>
          <w:p>
            <w:r/>
            <w:r>
              <w:rPr>
                <w:sz w:val="19"/>
              </w:rPr>
              <w:t>As B.</w:t>
            </w:r>
          </w:p>
        </w:tc>
      </w:tr>
      <w:tr>
        <w:tc>
          <w:tcPr>
            <w:tcW w:type="dxa" w:w="2494"/>
          </w:tcPr>
          <w:p>
            <w:r/>
            <w:r>
              <w:rPr>
                <w:sz w:val="19"/>
              </w:rPr>
              <w:t>D. Vendor (PO Receipt)</w:t>
            </w:r>
          </w:p>
        </w:tc>
        <w:tc>
          <w:tcPr>
            <w:tcW w:type="dxa" w:w="2948"/>
          </w:tcPr>
          <w:p>
            <w:r/>
            <w:r>
              <w:rPr>
                <w:sz w:val="19"/>
              </w:rPr>
              <w:t>Full challan quantity</w:t>
            </w:r>
          </w:p>
        </w:tc>
        <w:tc>
          <w:tcPr>
            <w:tcW w:type="dxa" w:w="3969"/>
          </w:tcPr>
          <w:p>
            <w:r/>
            <w:r>
              <w:rPr>
                <w:sz w:val="19"/>
              </w:rPr>
              <w:t>As B.</w:t>
            </w:r>
          </w:p>
        </w:tc>
      </w:tr>
      <w:tr>
        <w:tc>
          <w:tcPr>
            <w:tcW w:type="dxa" w:w="2494"/>
          </w:tcPr>
          <w:p>
            <w:r/>
            <w:r>
              <w:rPr>
                <w:sz w:val="19"/>
              </w:rPr>
              <w:t>E. Outbound, Colour Bank, Non-Stock</w:t>
            </w:r>
          </w:p>
        </w:tc>
        <w:tc>
          <w:tcPr>
            <w:tcW w:type="dxa" w:w="2948"/>
          </w:tcPr>
          <w:p>
            <w:r/>
            <w:r>
              <w:rPr>
                <w:sz w:val="19"/>
              </w:rPr>
              <w:t>Not reconciled</w:t>
            </w:r>
          </w:p>
        </w:tc>
        <w:tc>
          <w:tcPr>
            <w:tcW w:type="dxa" w:w="3969"/>
          </w:tcPr>
          <w:p>
            <w:r/>
            <w:r>
              <w:rPr>
                <w:sz w:val="19"/>
              </w:rPr>
              <w:t>None.</w:t>
            </w:r>
          </w:p>
        </w:tc>
      </w:tr>
    </w:tbl>
    <w:p>
      <w:pPr>
        <w:spacing w:after="40"/>
      </w:pPr>
    </w:p>
    <w:p>
      <w:pPr>
        <w:spacing w:after="80"/>
      </w:pPr>
      <w:r>
        <w:rPr>
          <w:i w:val="0"/>
        </w:rPr>
        <w:t>If the IRR matches the other LSCRR pattern than the one declared, the result is Review Required with the hint 'IRR matches non-LSCRR pattern' (or the reverse). The engine never switches mode itself.</w:t>
      </w:r>
    </w:p>
    <w:p>
      <w:pPr>
        <w:pStyle w:val="Heading2"/>
      </w:pPr>
      <w:r>
        <w:t>8.4 Normal Ship Reconciliation</w:t>
      </w:r>
    </w:p>
    <w:p>
      <w:pPr>
        <w:pStyle w:val="ListBullet"/>
        <w:spacing w:after="40"/>
      </w:pPr>
      <w:r>
        <w:t>Bridge: Ship ID + clerk-entered Stock Receipt No -&gt; IRR Type 'Int Req Intr Rcpt', TRX Number '&lt;Receipt No&gt; / &lt;Ship ID&gt;' (e.g. '42637 / 51882836'), Shipping ID Number where present.</w:t>
      </w:r>
    </w:p>
    <w:p>
      <w:pPr>
        <w:pStyle w:val="ListBullet"/>
        <w:spacing w:after="40"/>
      </w:pPr>
      <w:r>
        <w:t>Validate receipt component, Ship component and Shipping ID Number. Aggregate IRR rows by full SKU (lots/locators) before comparing.</w:t>
      </w:r>
    </w:p>
    <w:p>
      <w:pPr>
        <w:pStyle w:val="ListBullet"/>
        <w:spacing w:after="40"/>
      </w:pPr>
      <w:r>
        <w:t>Full Match: identity + every expected SKU pieces + family measure match. Partial Match: valid receipt, quantity still pending. Review Required: over/extra quantity, composition mismatch, wrong type or identity anomaly. Not Found: receipt/Ship combination absent from accepted IRR.</w:t>
      </w:r>
    </w:p>
    <w:p>
      <w:pPr>
        <w:pStyle w:val="Heading2"/>
      </w:pPr>
      <w:r>
        <w:t>8.5 Vendor PO Receipt Reconciliation</w:t>
      </w:r>
    </w:p>
    <w:p>
      <w:pPr>
        <w:pStyle w:val="ListBullet"/>
        <w:spacing w:after="40"/>
      </w:pPr>
      <w:r>
        <w:t>Matching ONLY through the PO Stock Receipt No: IRR rows with Type 'Po Receipt' whose TRX Number starts with that number (e.g. '42679 / CBE/0181/26-27').</w:t>
      </w:r>
    </w:p>
    <w:p>
      <w:pPr>
        <w:pStyle w:val="ListBullet"/>
        <w:spacing w:after="40"/>
      </w:pPr>
      <w:r>
        <w:t>Challan text inside the TRX Number and the PO Number are supporting data: a difference is an information warning, never a failure.</w:t>
      </w:r>
    </w:p>
    <w:p>
      <w:pPr>
        <w:pStyle w:val="ListBullet"/>
        <w:spacing w:after="40"/>
      </w:pPr>
      <w:r>
        <w:t>Receipt number existing in IRR with another Type -&gt; Review Required. Shipping ID may be blank; vendor never uses Ship-ID logic.</w:t>
      </w:r>
    </w:p>
    <w:p>
      <w:pPr>
        <w:pStyle w:val="Heading2"/>
      </w:pPr>
      <w:r>
        <w:t>8.6 SED ERP Reconciliation</w:t>
      </w:r>
    </w:p>
    <w:p>
      <w:pPr>
        <w:pStyle w:val="ListBullet"/>
        <w:spacing w:after="40"/>
      </w:pPr>
      <w:r>
        <w:t>TRX No is the primary key. Flow: SED memo -&gt; Supervisor Oracle processing -&gt; TRX No(s) -&gt; entry -&gt; IRR lookup -&gt; reverse full-SKU + quantity reconciliation.</w:t>
      </w:r>
    </w:p>
    <w:p>
      <w:pPr>
        <w:pStyle w:val="ListBullet"/>
        <w:spacing w:after="40"/>
      </w:pPr>
      <w:r>
        <w:t>Reason/Type mappings are supporting audit data only (observed: '08 / Depot-Short Stock Receipt' on Miscellaneous Issue/Receipt; '54 / Damage - Factory Carrier' and '68 / Damage - Local Carrier' on Subinventory Transfer to 035DMG).</w:t>
      </w:r>
    </w:p>
    <w:p>
      <w:pPr>
        <w:pStyle w:val="ListBullet"/>
        <w:spacing w:after="40"/>
      </w:pPr>
      <w:r>
        <w:t>Reverse match both ways: every expected SED SKU/quantity present; unexplained extra SKU/quantity -&gt; Review Required. Aggregate lot/locator rows first.</w:t>
      </w:r>
    </w:p>
    <w:p>
      <w:pPr>
        <w:pStyle w:val="ListBullet"/>
        <w:spacing w:after="40"/>
      </w:pPr>
      <w:r>
        <w:t>Damage transfers appear as a pair (Issue into 035DMG and Receipt, consecutive TRX numbers). Either number may be entered; the engine finds the partner and counts the quantity once, from the Issue side.</w:t>
      </w:r>
    </w:p>
    <w:p>
      <w:pPr>
        <w:pStyle w:val="ListBullet"/>
        <w:spacing w:after="40"/>
      </w:pPr>
      <w:r>
        <w:t>One memo -&gt; many TRX supported. TRX reuse across unrelated IW/memos -&gt; conflict/review.</w:t>
      </w:r>
    </w:p>
    <w:p>
      <w:pPr>
        <w:pStyle w:val="ListBullet"/>
        <w:spacing w:after="40"/>
      </w:pPr>
      <w:r>
        <w:t>Financial claim values are not reconciled to IRR.</w:t>
      </w:r>
    </w:p>
    <w:p>
      <w:pPr>
        <w:pStyle w:val="Heading2"/>
      </w:pPr>
      <w:r>
        <w:t>8.7 Final Documents and Closure</w:t>
      </w:r>
    </w:p>
    <w:tbl>
      <w:tblPr>
        <w:tblStyle w:val="TableGrid"/>
        <w:tblW w:type="auto" w:w="0"/>
        <w:jc w:val="center"/>
        <w:tblLook w:firstColumn="1" w:firstRow="1" w:lastColumn="0" w:lastRow="0" w:noHBand="0" w:noVBand="1" w:val="04A0"/>
      </w:tblPr>
      <w:tblGrid>
        <w:gridCol w:w="4706"/>
        <w:gridCol w:w="4706"/>
      </w:tblGrid>
      <w:tr>
        <w:tc>
          <w:tcPr>
            <w:tcW w:type="dxa" w:w="3969"/>
            <w:shd w:val="clear" w:color="auto" w:fill="1F3A5F"/>
          </w:tcPr>
          <w:p>
            <w:r/>
            <w:r>
              <w:rPr>
                <w:b/>
                <w:color w:val="FFFFFF"/>
                <w:sz w:val="19"/>
              </w:rPr>
              <w:t>Final Closure Gate</w:t>
            </w:r>
          </w:p>
        </w:tc>
        <w:tc>
          <w:tcPr>
            <w:tcW w:type="dxa" w:w="5443"/>
            <w:shd w:val="clear" w:color="auto" w:fill="1F3A5F"/>
          </w:tcPr>
          <w:p>
            <w:r/>
            <w:r>
              <w:rPr>
                <w:b/>
                <w:color w:val="FFFFFF"/>
                <w:sz w:val="19"/>
              </w:rPr>
              <w:t>Required</w:t>
            </w:r>
          </w:p>
        </w:tc>
      </w:tr>
      <w:tr>
        <w:tc>
          <w:tcPr>
            <w:tcW w:type="dxa" w:w="3969"/>
          </w:tcPr>
          <w:p>
            <w:r/>
            <w:r>
              <w:rPr>
                <w:sz w:val="19"/>
              </w:rPr>
              <w:t>Screen 04</w:t>
            </w:r>
          </w:p>
        </w:tc>
        <w:tc>
          <w:tcPr>
            <w:tcW w:type="dxa" w:w="5443"/>
          </w:tcPr>
          <w:p>
            <w:r/>
            <w:r>
              <w:rPr>
                <w:sz w:val="19"/>
              </w:rPr>
              <w:t>Complete</w:t>
            </w:r>
          </w:p>
        </w:tc>
      </w:tr>
      <w:tr>
        <w:tc>
          <w:tcPr>
            <w:tcW w:type="dxa" w:w="3969"/>
          </w:tcPr>
          <w:p>
            <w:r/>
            <w:r>
              <w:rPr>
                <w:sz w:val="19"/>
              </w:rPr>
              <w:t>Inbound Ship IDs (normal + excess receipts)</w:t>
            </w:r>
          </w:p>
        </w:tc>
        <w:tc>
          <w:tcPr>
            <w:tcW w:type="dxa" w:w="5443"/>
          </w:tcPr>
          <w:p>
            <w:r/>
            <w:r>
              <w:rPr>
                <w:sz w:val="19"/>
              </w:rPr>
              <w:t>All fully reconciled</w:t>
            </w:r>
          </w:p>
        </w:tc>
      </w:tr>
      <w:tr>
        <w:tc>
          <w:tcPr>
            <w:tcW w:type="dxa" w:w="3969"/>
          </w:tcPr>
          <w:p>
            <w:r/>
            <w:r>
              <w:rPr>
                <w:sz w:val="19"/>
              </w:rPr>
              <w:t>Vendor PO receipts</w:t>
            </w:r>
          </w:p>
        </w:tc>
        <w:tc>
          <w:tcPr>
            <w:tcW w:type="dxa" w:w="5443"/>
          </w:tcPr>
          <w:p>
            <w:r/>
            <w:r>
              <w:rPr>
                <w:sz w:val="19"/>
              </w:rPr>
              <w:t>Fully reconciled where applicable</w:t>
            </w:r>
          </w:p>
        </w:tc>
      </w:tr>
      <w:tr>
        <w:tc>
          <w:tcPr>
            <w:tcW w:type="dxa" w:w="3969"/>
          </w:tcPr>
          <w:p>
            <w:r/>
            <w:r>
              <w:rPr>
                <w:sz w:val="19"/>
              </w:rPr>
              <w:t>SED memos</w:t>
            </w:r>
          </w:p>
        </w:tc>
        <w:tc>
          <w:tcPr>
            <w:tcW w:type="dxa" w:w="5443"/>
          </w:tcPr>
          <w:p>
            <w:r/>
            <w:r>
              <w:rPr>
                <w:sz w:val="19"/>
              </w:rPr>
              <w:t>Reconciled, or LSCRR-covered where applicable</w:t>
            </w:r>
          </w:p>
        </w:tc>
      </w:tr>
      <w:tr>
        <w:tc>
          <w:tcPr>
            <w:tcW w:type="dxa" w:w="3969"/>
          </w:tcPr>
          <w:p>
            <w:r/>
            <w:r>
              <w:rPr>
                <w:sz w:val="19"/>
              </w:rPr>
              <w:t>Mandatory mails</w:t>
            </w:r>
          </w:p>
        </w:tc>
        <w:tc>
          <w:tcPr>
            <w:tcW w:type="dxa" w:w="5443"/>
          </w:tcPr>
          <w:p>
            <w:r/>
            <w:r>
              <w:rPr>
                <w:sz w:val="19"/>
              </w:rPr>
              <w:t>SENT evidence (including any Mail-Pending Release cases)</w:t>
            </w:r>
          </w:p>
        </w:tc>
      </w:tr>
      <w:tr>
        <w:tc>
          <w:tcPr>
            <w:tcW w:type="dxa" w:w="3969"/>
          </w:tcPr>
          <w:p>
            <w:r/>
            <w:r>
              <w:rPr>
                <w:sz w:val="19"/>
              </w:rPr>
              <w:t>Signed MRA scan</w:t>
            </w:r>
          </w:p>
        </w:tc>
        <w:tc>
          <w:tcPr>
            <w:tcW w:type="dxa" w:w="5443"/>
          </w:tcPr>
          <w:p>
            <w:r/>
            <w:r>
              <w:rPr>
                <w:sz w:val="19"/>
              </w:rPr>
              <w:t>Present</w:t>
            </w:r>
          </w:p>
        </w:tc>
      </w:tr>
      <w:tr>
        <w:tc>
          <w:tcPr>
            <w:tcW w:type="dxa" w:w="3969"/>
          </w:tcPr>
          <w:p>
            <w:r/>
            <w:r>
              <w:rPr>
                <w:sz w:val="19"/>
              </w:rPr>
              <w:t>Transporter LR scan</w:t>
            </w:r>
          </w:p>
        </w:tc>
        <w:tc>
          <w:tcPr>
            <w:tcW w:type="dxa" w:w="5443"/>
          </w:tcPr>
          <w:p>
            <w:r/>
            <w:r>
              <w:rPr>
                <w:sz w:val="19"/>
              </w:rPr>
              <w:t>Present (not required for Others (Non-Stock) without LR)</w:t>
            </w:r>
          </w:p>
        </w:tc>
      </w:tr>
      <w:tr>
        <w:tc>
          <w:tcPr>
            <w:tcW w:type="dxa" w:w="3969"/>
          </w:tcPr>
          <w:p>
            <w:r/>
            <w:r>
              <w:rPr>
                <w:sz w:val="19"/>
              </w:rPr>
              <w:t>Final IRR Reconciliation Report</w:t>
            </w:r>
          </w:p>
        </w:tc>
        <w:tc>
          <w:tcPr>
            <w:tcW w:type="dxa" w:w="5443"/>
          </w:tcPr>
          <w:p>
            <w:r/>
            <w:r>
              <w:rPr>
                <w:sz w:val="19"/>
              </w:rPr>
              <w:t>Generated</w:t>
            </w:r>
          </w:p>
        </w:tc>
      </w:tr>
      <w:tr>
        <w:tc>
          <w:tcPr>
            <w:tcW w:type="dxa" w:w="3969"/>
          </w:tcPr>
          <w:p>
            <w:r/>
            <w:r>
              <w:rPr>
                <w:sz w:val="19"/>
              </w:rPr>
              <w:t>Critical exceptions</w:t>
            </w:r>
          </w:p>
        </w:tc>
        <w:tc>
          <w:tcPr>
            <w:tcW w:type="dxa" w:w="5443"/>
          </w:tcPr>
          <w:p>
            <w:r/>
            <w:r>
              <w:rPr>
                <w:sz w:val="19"/>
              </w:rPr>
              <w:t>None unresolved</w:t>
            </w:r>
          </w:p>
        </w:tc>
      </w:tr>
    </w:tbl>
    <w:p>
      <w:pPr>
        <w:spacing w:after="40"/>
      </w:pPr>
    </w:p>
    <w:p>
      <w:pPr>
        <w:pStyle w:val="ListBullet"/>
        <w:spacing w:after="40"/>
      </w:pPr>
      <w:r>
        <w:t>Outbound, Colour Bank and Non-Stock tracks need only MRA_DONE. Outstanding unloading ledger does not block closure.</w:t>
      </w:r>
    </w:p>
    <w:p>
      <w:pPr>
        <w:pStyle w:val="ListBullet"/>
        <w:spacing w:after="40"/>
      </w:pPr>
      <w:r>
        <w:t>Closed IW is read-only. Reopen: requested with reason, approved by CFA Manager, immutable audit; revised documents get new revisions, never overwrite.</w:t>
      </w:r>
    </w:p>
    <w:p>
      <w:pPr>
        <w:pStyle w:val="Heading1"/>
      </w:pPr>
      <w:r>
        <w:t>9. IW Digital Document Bundle</w:t>
      </w:r>
    </w:p>
    <w:tbl>
      <w:tblPr>
        <w:tblStyle w:val="TableGrid"/>
        <w:tblW w:type="auto" w:w="0"/>
        <w:jc w:val="center"/>
        <w:tblLook w:firstColumn="1" w:firstRow="1" w:lastColumn="0" w:lastRow="0" w:noHBand="0" w:noVBand="1" w:val="04A0"/>
      </w:tblPr>
      <w:tblGrid>
        <w:gridCol w:w="4706"/>
        <w:gridCol w:w="4706"/>
      </w:tblGrid>
      <w:tr>
        <w:tc>
          <w:tcPr>
            <w:tcW w:type="dxa" w:w="3969"/>
            <w:shd w:val="clear" w:color="auto" w:fill="1F3A5F"/>
          </w:tcPr>
          <w:p>
            <w:r/>
            <w:r>
              <w:rPr>
                <w:b/>
                <w:color w:val="FFFFFF"/>
                <w:sz w:val="19"/>
              </w:rPr>
              <w:t>Document / Evidence</w:t>
            </w:r>
          </w:p>
        </w:tc>
        <w:tc>
          <w:tcPr>
            <w:tcW w:type="dxa" w:w="5443"/>
            <w:shd w:val="clear" w:color="auto" w:fill="1F3A5F"/>
          </w:tcPr>
          <w:p>
            <w:r/>
            <w:r>
              <w:rPr>
                <w:b/>
                <w:color w:val="FFFFFF"/>
                <w:sz w:val="19"/>
              </w:rPr>
              <w:t>Rule</w:t>
            </w:r>
          </w:p>
        </w:tc>
      </w:tr>
      <w:tr>
        <w:tc>
          <w:tcPr>
            <w:tcW w:type="dxa" w:w="3969"/>
          </w:tcPr>
          <w:p>
            <w:r/>
            <w:r>
              <w:rPr>
                <w:sz w:val="19"/>
              </w:rPr>
              <w:t>SIT import evidence</w:t>
            </w:r>
          </w:p>
        </w:tc>
        <w:tc>
          <w:tcPr>
            <w:tcW w:type="dxa" w:w="5443"/>
          </w:tcPr>
          <w:p>
            <w:r/>
            <w:r>
              <w:rPr>
                <w:sz w:val="19"/>
              </w:rPr>
              <w:t>Retain provenance.</w:t>
            </w:r>
          </w:p>
        </w:tc>
      </w:tr>
      <w:tr>
        <w:tc>
          <w:tcPr>
            <w:tcW w:type="dxa" w:w="3969"/>
          </w:tcPr>
          <w:p>
            <w:r/>
            <w:r>
              <w:rPr>
                <w:sz w:val="19"/>
              </w:rPr>
              <w:t>Outbound Despatch Detail Report + row assignments</w:t>
            </w:r>
          </w:p>
        </w:tc>
        <w:tc>
          <w:tcPr>
            <w:tcW w:type="dxa" w:w="5443"/>
          </w:tcPr>
          <w:p>
            <w:r/>
            <w:r>
              <w:rPr>
                <w:sz w:val="19"/>
              </w:rPr>
              <w:t>Where applicable.</w:t>
            </w:r>
          </w:p>
        </w:tc>
      </w:tr>
      <w:tr>
        <w:tc>
          <w:tcPr>
            <w:tcW w:type="dxa" w:w="3969"/>
          </w:tcPr>
          <w:p>
            <w:r/>
            <w:r>
              <w:rPr>
                <w:sz w:val="19"/>
              </w:rPr>
              <w:t>Vendor portal report / manual capture</w:t>
            </w:r>
          </w:p>
        </w:tc>
        <w:tc>
          <w:tcPr>
            <w:tcW w:type="dxa" w:w="5443"/>
          </w:tcPr>
          <w:p>
            <w:r/>
            <w:r>
              <w:rPr>
                <w:sz w:val="19"/>
              </w:rPr>
              <w:t>Where applicable.</w:t>
            </w:r>
          </w:p>
        </w:tc>
      </w:tr>
      <w:tr>
        <w:tc>
          <w:tcPr>
            <w:tcW w:type="dxa" w:w="3969"/>
          </w:tcPr>
          <w:p>
            <w:r/>
            <w:r>
              <w:rPr>
                <w:sz w:val="19"/>
              </w:rPr>
              <w:t>Colour Bank / Non-Stock challan evidence</w:t>
            </w:r>
          </w:p>
        </w:tc>
        <w:tc>
          <w:tcPr>
            <w:tcW w:type="dxa" w:w="5443"/>
          </w:tcPr>
          <w:p>
            <w:r/>
            <w:r>
              <w:rPr>
                <w:sz w:val="19"/>
              </w:rPr>
              <w:t>Where applicable.</w:t>
            </w:r>
          </w:p>
        </w:tc>
      </w:tr>
      <w:tr>
        <w:tc>
          <w:tcPr>
            <w:tcW w:type="dxa" w:w="3969"/>
          </w:tcPr>
          <w:p>
            <w:r/>
            <w:r>
              <w:rPr>
                <w:sz w:val="19"/>
              </w:rPr>
              <w:t>Unloading checklist</w:t>
            </w:r>
          </w:p>
        </w:tc>
        <w:tc>
          <w:tcPr>
            <w:tcW w:type="dxa" w:w="5443"/>
          </w:tcPr>
          <w:p>
            <w:r/>
            <w:r>
              <w:rPr>
                <w:sz w:val="19"/>
              </w:rPr>
              <w:t>Generated/retained.</w:t>
            </w:r>
          </w:p>
        </w:tc>
      </w:tr>
      <w:tr>
        <w:tc>
          <w:tcPr>
            <w:tcW w:type="dxa" w:w="3969"/>
          </w:tcPr>
          <w:p>
            <w:r/>
            <w:r>
              <w:rPr>
                <w:sz w:val="19"/>
              </w:rPr>
              <w:t>MRA</w:t>
            </w:r>
          </w:p>
        </w:tc>
        <w:tc>
          <w:tcPr>
            <w:tcW w:type="dxa" w:w="5443"/>
          </w:tcPr>
          <w:p>
            <w:r/>
            <w:r>
              <w:rPr>
                <w:sz w:val="19"/>
              </w:rPr>
              <w:t>Generated and versioned.</w:t>
            </w:r>
          </w:p>
        </w:tc>
      </w:tr>
      <w:tr>
        <w:tc>
          <w:tcPr>
            <w:tcW w:type="dxa" w:w="3969"/>
          </w:tcPr>
          <w:p>
            <w:r/>
            <w:r>
              <w:rPr>
                <w:sz w:val="19"/>
              </w:rPr>
              <w:t>Damage photos</w:t>
            </w:r>
          </w:p>
        </w:tc>
        <w:tc>
          <w:tcPr>
            <w:tcW w:type="dxa" w:w="5443"/>
          </w:tcPr>
          <w:p>
            <w:r/>
            <w:r>
              <w:rPr>
                <w:sz w:val="19"/>
              </w:rPr>
              <w:t>Mandatory if damage.</w:t>
            </w:r>
          </w:p>
        </w:tc>
      </w:tr>
      <w:tr>
        <w:tc>
          <w:tcPr>
            <w:tcW w:type="dxa" w:w="3969"/>
          </w:tcPr>
          <w:p>
            <w:r/>
            <w:r>
              <w:rPr>
                <w:sz w:val="19"/>
              </w:rPr>
              <w:t>SED memos</w:t>
            </w:r>
          </w:p>
        </w:tc>
        <w:tc>
          <w:tcPr>
            <w:tcW w:type="dxa" w:w="5443"/>
          </w:tcPr>
          <w:p>
            <w:r/>
            <w:r>
              <w:rPr>
                <w:sz w:val="19"/>
              </w:rPr>
              <w:t>Applicable documents.</w:t>
            </w:r>
          </w:p>
        </w:tc>
      </w:tr>
      <w:tr>
        <w:tc>
          <w:tcPr>
            <w:tcW w:type="dxa" w:w="3969"/>
          </w:tcPr>
          <w:p>
            <w:r>
              <w:t>MRA e-mail evidence (.eml + metadata)</w:t>
            </w:r>
          </w:p>
        </w:tc>
        <w:tc>
          <w:tcPr>
            <w:tcW w:type="dxa" w:w="5443"/>
          </w:tcPr>
          <w:p>
            <w:r/>
            <w:r>
              <w:rPr>
                <w:sz w:val="19"/>
              </w:rPr>
              <w:t>Mandatory.</w:t>
            </w:r>
          </w:p>
        </w:tc>
      </w:tr>
      <w:tr>
        <w:tc>
          <w:tcPr>
            <w:tcW w:type="dxa" w:w="3969"/>
          </w:tcPr>
          <w:p>
            <w:r/>
            <w:r>
              <w:rPr>
                <w:sz w:val="19"/>
              </w:rPr>
              <w:t>Internal SED notification evidence</w:t>
            </w:r>
          </w:p>
        </w:tc>
        <w:tc>
          <w:tcPr>
            <w:tcW w:type="dxa" w:w="5443"/>
          </w:tcPr>
          <w:p>
            <w:r/>
            <w:r>
              <w:rPr>
                <w:sz w:val="19"/>
              </w:rPr>
              <w:t>Mandatory if SED.</w:t>
            </w:r>
          </w:p>
        </w:tc>
      </w:tr>
      <w:tr>
        <w:tc>
          <w:tcPr>
            <w:tcW w:type="dxa" w:w="3969"/>
          </w:tcPr>
          <w:p>
            <w:r>
              <w:t>Depot Manager SED approval e-mail (.eml)</w:t>
            </w:r>
          </w:p>
        </w:tc>
        <w:tc>
          <w:tcPr>
            <w:tcW w:type="dxa" w:w="5443"/>
          </w:tcPr>
          <w:p>
            <w:r>
              <w:t>Required for every SED IW; tracked, not blocking.</w:t>
            </w:r>
          </w:p>
        </w:tc>
      </w:tr>
      <w:tr>
        <w:tc>
          <w:tcPr>
            <w:tcW w:type="dxa" w:w="3969"/>
          </w:tcPr>
          <w:p>
            <w:r/>
            <w:r>
              <w:rPr>
                <w:sz w:val="19"/>
              </w:rPr>
              <w:t>Signed MRA scan / Transporter LR scan</w:t>
            </w:r>
          </w:p>
        </w:tc>
        <w:tc>
          <w:tcPr>
            <w:tcW w:type="dxa" w:w="5443"/>
          </w:tcPr>
          <w:p>
            <w:r/>
            <w:r>
              <w:rPr>
                <w:sz w:val="19"/>
              </w:rPr>
              <w:t>Mandatory before closure.</w:t>
            </w:r>
          </w:p>
        </w:tc>
      </w:tr>
      <w:tr>
        <w:tc>
          <w:tcPr>
            <w:tcW w:type="dxa" w:w="3969"/>
          </w:tcPr>
          <w:p>
            <w:r/>
            <w:r>
              <w:rPr>
                <w:sz w:val="19"/>
              </w:rPr>
              <w:t>IRR Reconciliation Report</w:t>
            </w:r>
          </w:p>
        </w:tc>
        <w:tc>
          <w:tcPr>
            <w:tcW w:type="dxa" w:w="5443"/>
          </w:tcPr>
          <w:p>
            <w:r/>
            <w:r>
              <w:rPr>
                <w:sz w:val="19"/>
              </w:rPr>
              <w:t>Mandatory before closure.</w:t>
            </w:r>
          </w:p>
        </w:tc>
      </w:tr>
      <w:tr>
        <w:tc>
          <w:tcPr>
            <w:tcW w:type="dxa" w:w="3969"/>
          </w:tcPr>
          <w:p>
            <w:r/>
            <w:r>
              <w:rPr>
                <w:sz w:val="19"/>
              </w:rPr>
              <w:t>Audit trail</w:t>
            </w:r>
          </w:p>
        </w:tc>
        <w:tc>
          <w:tcPr>
            <w:tcW w:type="dxa" w:w="5443"/>
          </w:tcPr>
          <w:p>
            <w:r/>
            <w:r>
              <w:rPr>
                <w:sz w:val="19"/>
              </w:rPr>
              <w:t>Permanent append-only history.</w:t>
            </w:r>
          </w:p>
        </w:tc>
      </w:tr>
    </w:tbl>
    <w:p>
      <w:pPr>
        <w:spacing w:after="40"/>
      </w:pPr>
    </w:p>
    <w:p>
      <w:pPr>
        <w:pStyle w:val="ListBullet"/>
        <w:spacing w:after="40"/>
      </w:pPr>
      <w:r>
        <w:t>Immutable internal Document IDs (filenames are not identities); SHA-256 stored; originals kept individually.</w:t>
      </w:r>
    </w:p>
    <w:p>
      <w:pPr>
        <w:pStyle w:val="ListBullet"/>
        <w:spacing w:after="40"/>
      </w:pPr>
      <w:r>
        <w:t>On-demand Complete IW Dossier ZIP (background job), optional consolidated Audit PDF and an automatic clickable Document Index.</w:t>
      </w:r>
    </w:p>
    <w:p>
      <w:pPr>
        <w:pStyle w:val="ListBullet"/>
        <w:spacing w:after="40"/>
      </w:pPr>
      <w:r>
        <w:t>Cloud copy: every document is mirrored to OneDrive in a readable structure (Inward Bundles / FY2627 / IW-2627-000123 / ...), so any IW's documents can be browsed and downloaded from OneDrive at any time, with or without the application.</w:t>
      </w:r>
    </w:p>
    <w:p>
      <w:pPr>
        <w:pStyle w:val="ListBullet"/>
        <w:spacing w:after="40"/>
      </w:pPr>
      <w:r>
        <w:t>The VPS copy and the backups are authoritative. A weekly integrity check compares OneDrive files with their stored SHA-256 and flags any changed or missing file.</w:t>
      </w:r>
    </w:p>
    <w:p>
      <w:pPr>
        <w:pStyle w:val="Heading1"/>
      </w:pPr>
      <w:r>
        <w:t>10. Screen 06 - Operations Control Centre</w:t>
      </w:r>
    </w:p>
    <w:p>
      <w:pPr>
        <w:pStyle w:val="ListBullet"/>
        <w:spacing w:after="40"/>
      </w:pPr>
      <w:r>
        <w:t>Today's arrivals, IWs, MRAs, closures; ERP/IRR pending counts; partial Ship IDs; SED counts/values; unloading financial position.</w:t>
      </w:r>
    </w:p>
    <w:p>
      <w:pPr>
        <w:pStyle w:val="ListBullet"/>
        <w:spacing w:after="40"/>
      </w:pPr>
      <w:r>
        <w:t>Each IW shows its status and a per-track progress strip.</w:t>
      </w:r>
    </w:p>
    <w:p>
      <w:pPr>
        <w:pStyle w:val="ListBullet"/>
        <w:spacing w:after="40"/>
      </w:pPr>
      <w:r>
        <w:t>'My Pending Actions' states the exact missing action, track and gate.</w:t>
      </w:r>
    </w:p>
    <w:p>
      <w:pPr>
        <w:pStyle w:val="ListBullet"/>
        <w:spacing w:after="40"/>
      </w:pPr>
      <w:r>
        <w:t>Open-IW aging from actual vehicle arrival date-time (IST).</w:t>
      </w:r>
    </w:p>
    <w:p>
      <w:pPr>
        <w:pStyle w:val="ListBullet"/>
        <w:spacing w:after="40"/>
      </w:pPr>
      <w:r>
        <w:t>SIT monitoring of continuing, partially processed, abnormally removed and never-linked Ships.</w:t>
      </w:r>
    </w:p>
    <w:p>
      <w:pPr>
        <w:pStyle w:val="ListBullet"/>
        <w:spacing w:after="40"/>
      </w:pPr>
      <w:r>
        <w:t>SED dashboard (Origin/Source/Transporter/SKU/claim) and Transporter Unloading Ledger dashboard.</w:t>
      </w:r>
    </w:p>
    <w:p>
      <w:pPr>
        <w:pStyle w:val="ListBullet"/>
        <w:spacing w:after="40"/>
      </w:pPr>
      <w:r>
        <w:t>SED approval board: every SED IW with its approval status and age, so the clerk can follow up with the Depot Manager.</w:t>
      </w:r>
    </w:p>
    <w:p>
      <w:pPr>
        <w:pStyle w:val="ListBullet"/>
        <w:spacing w:after="40"/>
      </w:pPr>
      <w:r>
        <w:t>Red banner when the mail engine is down or mandatory mails are pending.</w:t>
      </w:r>
    </w:p>
    <w:p>
      <w:pPr>
        <w:pStyle w:val="Heading1"/>
      </w:pPr>
      <w:r>
        <w:t>11. Screen 07 - Universal Search &amp; Audit Retrieval</w:t>
      </w:r>
    </w:p>
    <w:p>
      <w:pPr>
        <w:pStyle w:val="ListBullet"/>
        <w:spacing w:after="40"/>
      </w:pPr>
      <w:r>
        <w:t>Any record, including multi-year-old ones, findable in seconds without physical files.</w:t>
      </w:r>
    </w:p>
    <w:p>
      <w:pPr>
        <w:pStyle w:val="ListBullet"/>
        <w:spacing w:after="40"/>
      </w:pPr>
      <w:r>
        <w:t>Indexed search across IW, Ship ID, Vendor Code, PO No, Vendor/Colour Bank/Non-Stock Challan, MRA, vehicle, driver/mobile, transporter, LR, Origin/Source/Transit/Destination Org, Stock/PO/Excess Receipt, SED TRX, LSCRR, full SKU, Floor SKU, description, SED memo and IRR references.</w:t>
      </w:r>
    </w:p>
    <w:p>
      <w:pPr>
        <w:pStyle w:val="ListBullet"/>
        <w:spacing w:after="40"/>
      </w:pPr>
      <w:r>
        <w:t>Normalised, fuzzy-friendly lookup for vehicle, LR, transporter, organisation and Floor SKU; automatic detection of the likely reference type.</w:t>
      </w:r>
    </w:p>
    <w:p>
      <w:pPr>
        <w:pStyle w:val="ListBullet"/>
        <w:spacing w:after="40"/>
      </w:pPr>
      <w:r>
        <w:t>Filters: date ranges, organisation, load type, track type, ERP status, SED type/value, document availability, closure status.</w:t>
      </w:r>
    </w:p>
    <w:p>
      <w:pPr>
        <w:pStyle w:val="ListBullet"/>
        <w:spacing w:after="40"/>
      </w:pPr>
      <w:r>
        <w:t>Read-only Audit View: Timeline, Documents, Material Receipt, ERP Reconciliation, SED, Communications, Unloading, Audit Trail.</w:t>
      </w:r>
    </w:p>
    <w:p>
      <w:pPr>
        <w:pStyle w:val="ListBullet"/>
        <w:spacing w:after="40"/>
      </w:pPr>
      <w:r>
        <w:t>Searches hit indexed database metadata only; never scan PDF/Excel at search time.</w:t>
      </w:r>
    </w:p>
    <w:p>
      <w:pPr>
        <w:pStyle w:val="Heading1"/>
      </w:pPr>
      <w:r>
        <w:t>12. Screen 08 - Masters, Users &amp; Administration</w:t>
      </w:r>
    </w:p>
    <w:tbl>
      <w:tblPr>
        <w:tblStyle w:val="TableGrid"/>
        <w:tblW w:type="auto" w:w="0"/>
        <w:jc w:val="center"/>
        <w:tblLook w:firstColumn="1" w:firstRow="1" w:lastColumn="0" w:lastRow="0" w:noHBand="0" w:noVBand="1" w:val="04A0"/>
      </w:tblPr>
      <w:tblGrid>
        <w:gridCol w:w="4706"/>
        <w:gridCol w:w="4706"/>
      </w:tblGrid>
      <w:tr>
        <w:tc>
          <w:tcPr>
            <w:tcW w:type="dxa" w:w="2835"/>
            <w:shd w:val="clear" w:color="auto" w:fill="1F3A5F"/>
          </w:tcPr>
          <w:p>
            <w:r/>
            <w:r>
              <w:rPr>
                <w:b/>
                <w:color w:val="FFFFFF"/>
                <w:sz w:val="19"/>
              </w:rPr>
              <w:t>Master / Config</w:t>
            </w:r>
          </w:p>
        </w:tc>
        <w:tc>
          <w:tcPr>
            <w:tcW w:type="dxa" w:w="6576"/>
            <w:shd w:val="clear" w:color="auto" w:fill="1F3A5F"/>
          </w:tcPr>
          <w:p>
            <w:r/>
            <w:r>
              <w:rPr>
                <w:b/>
                <w:color w:val="FFFFFF"/>
                <w:sz w:val="19"/>
              </w:rPr>
              <w:t>Purpose</w:t>
            </w:r>
          </w:p>
        </w:tc>
      </w:tr>
      <w:tr>
        <w:tc>
          <w:tcPr>
            <w:tcW w:type="dxa" w:w="2835"/>
          </w:tcPr>
          <w:p>
            <w:r/>
            <w:r>
              <w:rPr>
                <w:sz w:val="19"/>
              </w:rPr>
              <w:t>Depot Master</w:t>
            </w:r>
          </w:p>
        </w:tc>
        <w:tc>
          <w:tcPr>
            <w:tcW w:type="dxa" w:w="6576"/>
          </w:tcPr>
          <w:p>
            <w:r/>
            <w:r>
              <w:rPr>
                <w:sz w:val="19"/>
              </w:rPr>
              <w:t>Own depot: code 035, name Coimbatore, address, operating CFA name (RAINBOW LOGISTICS), CFA short name for documents, logo/seal images; effective-dated so a CFA change never rewrites old documents.</w:t>
            </w:r>
          </w:p>
        </w:tc>
      </w:tr>
      <w:tr>
        <w:tc>
          <w:tcPr>
            <w:tcW w:type="dxa" w:w="2835"/>
          </w:tcPr>
          <w:p>
            <w:r/>
            <w:r>
              <w:rPr>
                <w:sz w:val="19"/>
              </w:rPr>
              <w:t>Organisation Master</w:t>
            </w:r>
          </w:p>
        </w:tc>
        <w:tc>
          <w:tcPr>
            <w:tcW w:type="dxa" w:w="6576"/>
          </w:tcPr>
          <w:p>
            <w:r/>
            <w:r>
              <w:rPr>
                <w:sz w:val="19"/>
              </w:rPr>
              <w:t>Code/name/type/state/active; Source/Origin/Transit/Destination selection and routing.</w:t>
            </w:r>
          </w:p>
        </w:tc>
      </w:tr>
      <w:tr>
        <w:tc>
          <w:tcPr>
            <w:tcW w:type="dxa" w:w="2835"/>
          </w:tcPr>
          <w:p>
            <w:r/>
            <w:r>
              <w:rPr>
                <w:sz w:val="19"/>
              </w:rPr>
              <w:t>Organisation E-mail Mapping</w:t>
            </w:r>
          </w:p>
        </w:tc>
        <w:tc>
          <w:tcPr>
            <w:tcW w:type="dxa" w:w="6576"/>
          </w:tcPr>
          <w:p>
            <w:r>
              <w:t>Primary/CC recipients. Missing mapping: entered by the clerk at MRA stage and used immediately as 'Unverified'; the CFA Manager verifies or corrects it.</w:t>
            </w:r>
          </w:p>
        </w:tc>
      </w:tr>
      <w:tr>
        <w:tc>
          <w:tcPr>
            <w:tcW w:type="dxa" w:w="2835"/>
          </w:tcPr>
          <w:p>
            <w:r>
              <w:t>Sender Master</w:t>
            </w:r>
          </w:p>
        </w:tc>
        <w:tc>
          <w:tcPr>
            <w:tcW w:type="dxa" w:w="6576"/>
          </w:tcPr>
          <w:p>
            <w:r>
              <w:t>Non-Stock senders (name, e-mail) for Others (Non-Stock) loads; same 'Unverified' rule as organisation e-mails.</w:t>
            </w:r>
          </w:p>
        </w:tc>
      </w:tr>
      <w:tr>
        <w:tc>
          <w:tcPr>
            <w:tcW w:type="dxa" w:w="2835"/>
          </w:tcPr>
          <w:p>
            <w:r/>
            <w:r>
              <w:rPr>
                <w:sz w:val="19"/>
              </w:rPr>
              <w:t>Internal Notification Master</w:t>
            </w:r>
          </w:p>
        </w:tc>
        <w:tc>
          <w:tcPr>
            <w:tcW w:type="dxa" w:w="6576"/>
          </w:tcPr>
          <w:p>
            <w:r/>
            <w:r>
              <w:rPr>
                <w:sz w:val="19"/>
              </w:rPr>
              <w:t>Mandatory SED recipients: Depot Manager, Admin Officer, CFA Manager; report recipients.</w:t>
            </w:r>
          </w:p>
        </w:tc>
      </w:tr>
      <w:tr>
        <w:tc>
          <w:tcPr>
            <w:tcW w:type="dxa" w:w="2835"/>
          </w:tcPr>
          <w:p>
            <w:r/>
            <w:r>
              <w:rPr>
                <w:sz w:val="19"/>
              </w:rPr>
              <w:t>Transporter Master</w:t>
            </w:r>
          </w:p>
        </w:tc>
        <w:tc>
          <w:tcPr>
            <w:tcW w:type="dxa" w:w="6576"/>
          </w:tcPr>
          <w:p>
            <w:r/>
            <w:r>
              <w:rPr>
                <w:sz w:val="19"/>
              </w:rPr>
              <w:t>Searchable; new/unverified entries; ledger settings.</w:t>
            </w:r>
          </w:p>
        </w:tc>
      </w:tr>
      <w:tr>
        <w:tc>
          <w:tcPr>
            <w:tcW w:type="dxa" w:w="2835"/>
          </w:tcPr>
          <w:p>
            <w:r/>
            <w:r>
              <w:rPr>
                <w:sz w:val="19"/>
              </w:rPr>
              <w:t>Vendor Master</w:t>
            </w:r>
          </w:p>
        </w:tc>
        <w:tc>
          <w:tcPr>
            <w:tcW w:type="dxa" w:w="6576"/>
          </w:tcPr>
          <w:p>
            <w:r/>
            <w:r>
              <w:rPr>
                <w:sz w:val="19"/>
              </w:rPr>
              <w:t>Unique Vendor Code, name, Oracle Vendor ID, site, active.</w:t>
            </w:r>
          </w:p>
        </w:tc>
      </w:tr>
      <w:tr>
        <w:tc>
          <w:tcPr>
            <w:tcW w:type="dxa" w:w="2835"/>
          </w:tcPr>
          <w:p>
            <w:r/>
            <w:r>
              <w:rPr>
                <w:sz w:val="19"/>
              </w:rPr>
              <w:t>SKU &amp; Packaging Master</w:t>
            </w:r>
          </w:p>
        </w:tc>
        <w:tc>
          <w:tcPr>
            <w:tcW w:type="dxa" w:w="6576"/>
          </w:tcPr>
          <w:p>
            <w:r>
              <w:t>16-character SKU, Floor SKU (derived), description, business line, pack size, UOM family, package group, units/package, verify-physically flag, source (company list / clerk), change history with CFA Manager review of drastic changes (section 7.1).</w:t>
            </w:r>
          </w:p>
        </w:tc>
      </w:tr>
      <w:tr>
        <w:tc>
          <w:tcPr>
            <w:tcW w:type="dxa" w:w="2835"/>
          </w:tcPr>
          <w:p>
            <w:r>
              <w:t>Business Line -&gt; Warehouse</w:t>
            </w:r>
          </w:p>
        </w:tc>
        <w:tc>
          <w:tcPr>
            <w:tcW w:type="dxa" w:w="6576"/>
          </w:tcPr>
          <w:p>
            <w:r>
              <w:t>Maps each business line (RETAIL, PROTECTON, POWDER, GI, AUTOMOTIVE, ...) to the Retail or Industrial warehouse.</w:t>
            </w:r>
          </w:p>
        </w:tc>
      </w:tr>
      <w:tr>
        <w:tc>
          <w:tcPr>
            <w:tcW w:type="dxa" w:w="2835"/>
          </w:tcPr>
          <w:p>
            <w:r/>
            <w:r>
              <w:rPr>
                <w:sz w:val="19"/>
              </w:rPr>
              <w:t>Package Type Master</w:t>
            </w:r>
          </w:p>
        </w:tc>
        <w:tc>
          <w:tcPr>
            <w:tcW w:type="dxa" w:w="6576"/>
          </w:tcPr>
          <w:p>
            <w:r/>
            <w:r>
              <w:rPr>
                <w:sz w:val="19"/>
              </w:rPr>
              <w:t>Carton/Box/Drum/Bag/Pail/Tin/Loose/Machine/Empty Packing/Other and sort priority.</w:t>
            </w:r>
          </w:p>
        </w:tc>
      </w:tr>
      <w:tr>
        <w:tc>
          <w:tcPr>
            <w:tcW w:type="dxa" w:w="2835"/>
          </w:tcPr>
          <w:p>
            <w:r/>
            <w:r>
              <w:rPr>
                <w:sz w:val="19"/>
              </w:rPr>
              <w:t>Non-Stock Item Master</w:t>
            </w:r>
          </w:p>
        </w:tc>
        <w:tc>
          <w:tcPr>
            <w:tcW w:type="dxa" w:w="6576"/>
          </w:tcPr>
          <w:p>
            <w:r/>
            <w:r>
              <w:rPr>
                <w:sz w:val="19"/>
              </w:rPr>
              <w:t>Description and unit for gift/promotional items.</w:t>
            </w:r>
          </w:p>
        </w:tc>
      </w:tr>
      <w:tr>
        <w:tc>
          <w:tcPr>
            <w:tcW w:type="dxa" w:w="2835"/>
          </w:tcPr>
          <w:p>
            <w:r/>
            <w:r>
              <w:rPr>
                <w:sz w:val="19"/>
              </w:rPr>
              <w:t>Unloading Rate Master</w:t>
            </w:r>
          </w:p>
        </w:tc>
        <w:tc>
          <w:tcPr>
            <w:tcW w:type="dxa" w:w="6576"/>
          </w:tcPr>
          <w:p>
            <w:r/>
            <w:r>
              <w:rPr>
                <w:sz w:val="19"/>
              </w:rPr>
              <w:t>Effective-dated rate/ton; snapshotted into IW.</w:t>
            </w:r>
          </w:p>
        </w:tc>
      </w:tr>
      <w:tr>
        <w:tc>
          <w:tcPr>
            <w:tcW w:type="dxa" w:w="2835"/>
          </w:tcPr>
          <w:p>
            <w:r/>
            <w:r>
              <w:rPr>
                <w:sz w:val="19"/>
              </w:rPr>
              <w:t>Damage Charge Master</w:t>
            </w:r>
          </w:p>
        </w:tc>
        <w:tc>
          <w:tcPr>
            <w:tcW w:type="dxa" w:w="6576"/>
          </w:tcPr>
          <w:p>
            <w:r/>
            <w:r>
              <w:rPr>
                <w:sz w:val="19"/>
              </w:rPr>
              <w:t>Effective-dated carton/drum container charges; snapshotted into SED.</w:t>
            </w:r>
          </w:p>
        </w:tc>
      </w:tr>
      <w:tr>
        <w:tc>
          <w:tcPr>
            <w:tcW w:type="dxa" w:w="2835"/>
          </w:tcPr>
          <w:p>
            <w:r/>
            <w:r>
              <w:rPr>
                <w:sz w:val="19"/>
              </w:rPr>
              <w:t>Load Type Configuration</w:t>
            </w:r>
          </w:p>
        </w:tc>
        <w:tc>
          <w:tcPr>
            <w:tcW w:type="dxa" w:w="6576"/>
          </w:tcPr>
          <w:p>
            <w:r/>
            <w:r>
              <w:rPr>
                <w:sz w:val="19"/>
              </w:rPr>
              <w:t>Approved movement categories; semantics not casually editable.</w:t>
            </w:r>
          </w:p>
        </w:tc>
      </w:tr>
      <w:tr>
        <w:tc>
          <w:tcPr>
            <w:tcW w:type="dxa" w:w="2835"/>
          </w:tcPr>
          <w:p>
            <w:r/>
            <w:r>
              <w:rPr>
                <w:sz w:val="19"/>
              </w:rPr>
              <w:t>Feature flags</w:t>
            </w:r>
          </w:p>
        </w:tc>
        <w:tc>
          <w:tcPr>
            <w:tcW w:type="dxa" w:w="6576"/>
          </w:tcPr>
          <w:p>
            <w:r/>
            <w:r>
              <w:rPr>
                <w:sz w:val="19"/>
              </w:rPr>
              <w:t>Colour Bank ERP-tracked (OFF); claim-approval threshold (disabled); mail timeouts; schedules.</w:t>
            </w:r>
          </w:p>
        </w:tc>
      </w:tr>
      <w:tr>
        <w:tc>
          <w:tcPr>
            <w:tcW w:type="dxa" w:w="2835"/>
          </w:tcPr>
          <w:p>
            <w:r/>
            <w:r>
              <w:rPr>
                <w:sz w:val="19"/>
              </w:rPr>
              <w:t>Users / Roles / Permissions</w:t>
            </w:r>
          </w:p>
        </w:tc>
        <w:tc>
          <w:tcPr>
            <w:tcW w:type="dxa" w:w="6576"/>
          </w:tcPr>
          <w:p>
            <w:r/>
            <w:r>
              <w:rPr>
                <w:sz w:val="19"/>
              </w:rPr>
              <w:t>See 12.1.</w:t>
            </w:r>
          </w:p>
        </w:tc>
      </w:tr>
      <w:tr>
        <w:tc>
          <w:tcPr>
            <w:tcW w:type="dxa" w:w="2835"/>
          </w:tcPr>
          <w:p>
            <w:r/>
            <w:r>
              <w:rPr>
                <w:sz w:val="19"/>
              </w:rPr>
              <w:t>Environment / Secrets</w:t>
            </w:r>
          </w:p>
        </w:tc>
        <w:tc>
          <w:tcPr>
            <w:tcW w:type="dxa" w:w="6576"/>
          </w:tcPr>
          <w:p>
            <w:r>
              <w:t>Database, storage, depot, timezone, domain, Gmail account and App Password; secrets only in the server environment file, never hard-coded.</w:t>
            </w:r>
          </w:p>
        </w:tc>
      </w:tr>
      <w:tr>
        <w:tc>
          <w:tcPr>
            <w:tcW w:type="dxa" w:w="2835"/>
          </w:tcPr>
          <w:p>
            <w:r/>
            <w:r>
              <w:rPr>
                <w:sz w:val="19"/>
              </w:rPr>
              <w:t>Master Change Audit</w:t>
            </w:r>
          </w:p>
        </w:tc>
        <w:tc>
          <w:tcPr>
            <w:tcW w:type="dxa" w:w="6576"/>
          </w:tcPr>
          <w:p>
            <w:r/>
            <w:r>
              <w:rPr>
                <w:sz w:val="19"/>
              </w:rPr>
              <w:t>Immutable before/after/effective date/user history.</w:t>
            </w:r>
          </w:p>
        </w:tc>
      </w:tr>
    </w:tbl>
    <w:p>
      <w:pPr>
        <w:spacing w:after="40"/>
      </w:pPr>
    </w:p>
    <w:p>
      <w:pPr>
        <w:pStyle w:val="Heading2"/>
      </w:pPr>
      <w:r>
        <w:t>12.1 Roles and Permission Engine</w:t>
      </w:r>
    </w:p>
    <w:p>
      <w:pPr>
        <w:spacing w:after="80"/>
      </w:pPr>
      <w:r>
        <w:rPr>
          <w:i w:val="0"/>
        </w:rPr>
        <w:t>Permissions are granular codes grouped into roles; roles and user assignments are maintained in the application by the CFA Manager. Default seed:</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3515"/>
            <w:shd w:val="clear" w:color="auto" w:fill="1F3A5F"/>
          </w:tcPr>
          <w:p>
            <w:r/>
            <w:r>
              <w:rPr>
                <w:b/>
                <w:color w:val="FFFFFF"/>
                <w:sz w:val="19"/>
              </w:rPr>
              <w:t>Permission</w:t>
            </w:r>
          </w:p>
        </w:tc>
        <w:tc>
          <w:tcPr>
            <w:tcW w:type="dxa" w:w="1361"/>
            <w:shd w:val="clear" w:color="auto" w:fill="1F3A5F"/>
          </w:tcPr>
          <w:p>
            <w:r/>
            <w:r>
              <w:rPr>
                <w:b/>
                <w:color w:val="FFFFFF"/>
                <w:sz w:val="19"/>
              </w:rPr>
              <w:t>Depot Clerk</w:t>
            </w:r>
          </w:p>
        </w:tc>
        <w:tc>
          <w:tcPr>
            <w:tcW w:type="dxa" w:w="1587"/>
            <w:shd w:val="clear" w:color="auto" w:fill="1F3A5F"/>
          </w:tcPr>
          <w:p>
            <w:r/>
            <w:r>
              <w:rPr>
                <w:b/>
                <w:color w:val="FFFFFF"/>
                <w:sz w:val="19"/>
              </w:rPr>
              <w:t>System Supervisor</w:t>
            </w:r>
          </w:p>
        </w:tc>
        <w:tc>
          <w:tcPr>
            <w:tcW w:type="dxa" w:w="1474"/>
            <w:shd w:val="clear" w:color="auto" w:fill="1F3A5F"/>
          </w:tcPr>
          <w:p>
            <w:r/>
            <w:r>
              <w:rPr>
                <w:b/>
                <w:color w:val="FFFFFF"/>
                <w:sz w:val="19"/>
              </w:rPr>
              <w:t>CFA Manager</w:t>
            </w:r>
          </w:p>
        </w:tc>
        <w:tc>
          <w:tcPr>
            <w:tcW w:type="dxa" w:w="1474"/>
            <w:shd w:val="clear" w:color="auto" w:fill="1F3A5F"/>
          </w:tcPr>
          <w:p>
            <w:r/>
            <w:r>
              <w:rPr>
                <w:b/>
                <w:color w:val="FFFFFF"/>
                <w:sz w:val="19"/>
              </w:rPr>
              <w:t>Administrator</w:t>
            </w:r>
          </w:p>
        </w:tc>
      </w:tr>
      <w:tr>
        <w:tc>
          <w:tcPr>
            <w:tcW w:type="dxa" w:w="3515"/>
          </w:tcPr>
          <w:p>
            <w:r/>
            <w:r>
              <w:rPr>
                <w:sz w:val="19"/>
              </w:rPr>
              <w:t>Create / edit IW (before MRA)</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Link material; assign outbound rows</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Physical verification and SED quantities</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SED financial values</w:t>
            </w:r>
          </w:p>
        </w:tc>
        <w:tc>
          <w:tcPr>
            <w:tcW w:type="dxa" w:w="1361"/>
          </w:tcPr>
          <w:p>
            <w:r/>
            <w:r>
              <w:rPr>
                <w:sz w:val="19"/>
              </w:rPr>
              <w:t>Yes</w:t>
            </w:r>
          </w:p>
        </w:tc>
        <w:tc>
          <w:tcPr>
            <w:tcW w:type="dxa" w:w="1587"/>
          </w:tcPr>
          <w:p>
            <w:r/>
            <w:r>
              <w:rPr>
                <w:sz w:val="19"/>
              </w:rPr>
              <w:t>-</w:t>
            </w:r>
          </w:p>
        </w:tc>
        <w:tc>
          <w:tcPr>
            <w:tcW w:type="dxa" w:w="1474"/>
          </w:tcPr>
          <w:p>
            <w:r/>
            <w:r>
              <w:rPr>
                <w:sz w:val="19"/>
              </w:rPr>
              <w:t>Yes</w:t>
            </w:r>
          </w:p>
        </w:tc>
        <w:tc>
          <w:tcPr>
            <w:tcW w:type="dxa" w:w="1474"/>
          </w:tcPr>
          <w:p>
            <w:r/>
            <w:r>
              <w:rPr>
                <w:sz w:val="19"/>
              </w:rPr>
              <w:t>-</w:t>
            </w:r>
          </w:p>
        </w:tc>
      </w:tr>
      <w:tr>
        <w:tc>
          <w:tcPr>
            <w:tcW w:type="dxa" w:w="3515"/>
          </w:tcPr>
          <w:p>
            <w:r/>
            <w:r>
              <w:rPr>
                <w:sz w:val="19"/>
              </w:rPr>
              <w:t>Unloading charge / payment</w:t>
            </w:r>
          </w:p>
        </w:tc>
        <w:tc>
          <w:tcPr>
            <w:tcW w:type="dxa" w:w="1361"/>
          </w:tcPr>
          <w:p>
            <w:r/>
            <w:r>
              <w:rPr>
                <w:sz w:val="19"/>
              </w:rPr>
              <w:t>Yes</w:t>
            </w:r>
          </w:p>
        </w:tc>
        <w:tc>
          <w:tcPr>
            <w:tcW w:type="dxa" w:w="1587"/>
          </w:tcPr>
          <w:p>
            <w:r/>
            <w:r>
              <w:rPr>
                <w:sz w:val="19"/>
              </w:rPr>
              <w:t>-</w:t>
            </w:r>
          </w:p>
        </w:tc>
        <w:tc>
          <w:tcPr>
            <w:tcW w:type="dxa" w:w="1474"/>
          </w:tcPr>
          <w:p>
            <w:r/>
            <w:r>
              <w:rPr>
                <w:sz w:val="19"/>
              </w:rPr>
              <w:t>Yes</w:t>
            </w:r>
          </w:p>
        </w:tc>
        <w:tc>
          <w:tcPr>
            <w:tcW w:type="dxa" w:w="1474"/>
          </w:tcPr>
          <w:p>
            <w:r/>
            <w:r>
              <w:rPr>
                <w:sz w:val="19"/>
              </w:rPr>
              <w:t>-</w:t>
            </w:r>
          </w:p>
        </w:tc>
      </w:tr>
      <w:tr>
        <w:tc>
          <w:tcPr>
            <w:tcW w:type="dxa" w:w="3515"/>
          </w:tcPr>
          <w:p>
            <w:r/>
            <w:r>
              <w:rPr>
                <w:sz w:val="19"/>
              </w:rPr>
              <w:t>Exempt / Nil unloading</w:t>
            </w:r>
          </w:p>
        </w:tc>
        <w:tc>
          <w:tcPr>
            <w:tcW w:type="dxa" w:w="1361"/>
          </w:tcPr>
          <w:p>
            <w:r/>
            <w:r>
              <w:rPr>
                <w:sz w:val="19"/>
              </w:rPr>
              <w:t>Request</w:t>
            </w:r>
          </w:p>
        </w:tc>
        <w:tc>
          <w:tcPr>
            <w:tcW w:type="dxa" w:w="1587"/>
          </w:tcPr>
          <w:p>
            <w:r/>
            <w:r>
              <w:rPr>
                <w:sz w:val="19"/>
              </w:rPr>
              <w:t>-</w:t>
            </w:r>
          </w:p>
        </w:tc>
        <w:tc>
          <w:tcPr>
            <w:tcW w:type="dxa" w:w="1474"/>
          </w:tcPr>
          <w:p>
            <w:r/>
            <w:r>
              <w:rPr>
                <w:sz w:val="19"/>
              </w:rPr>
              <w:t>Approve</w:t>
            </w:r>
          </w:p>
        </w:tc>
        <w:tc>
          <w:tcPr>
            <w:tcW w:type="dxa" w:w="1474"/>
          </w:tcPr>
          <w:p>
            <w:r/>
            <w:r>
              <w:rPr>
                <w:sz w:val="19"/>
              </w:rPr>
              <w:t>-</w:t>
            </w:r>
          </w:p>
        </w:tc>
      </w:tr>
      <w:tr>
        <w:tc>
          <w:tcPr>
            <w:tcW w:type="dxa" w:w="3515"/>
          </w:tcPr>
          <w:p>
            <w:r/>
            <w:r>
              <w:rPr>
                <w:sz w:val="19"/>
              </w:rPr>
              <w:t>Issue MRA, trigger communications</w:t>
            </w:r>
          </w:p>
        </w:tc>
        <w:tc>
          <w:tcPr>
            <w:tcW w:type="dxa" w:w="1361"/>
          </w:tcPr>
          <w:p>
            <w:r/>
            <w:r>
              <w:rPr>
                <w:sz w:val="19"/>
              </w:rPr>
              <w:t>Yes</w:t>
            </w:r>
          </w:p>
        </w:tc>
        <w:tc>
          <w:tcPr>
            <w:tcW w:type="dxa" w:w="1587"/>
          </w:tcPr>
          <w:p>
            <w:r/>
            <w:r>
              <w:rPr>
                <w:sz w:val="19"/>
              </w:rPr>
              <w:t>-</w:t>
            </w:r>
          </w:p>
        </w:tc>
        <w:tc>
          <w:tcPr>
            <w:tcW w:type="dxa" w:w="1474"/>
          </w:tcPr>
          <w:p>
            <w:r/>
            <w:r>
              <w:rPr>
                <w:sz w:val="19"/>
              </w:rPr>
              <w:t>Yes</w:t>
            </w:r>
          </w:p>
        </w:tc>
        <w:tc>
          <w:tcPr>
            <w:tcW w:type="dxa" w:w="1474"/>
          </w:tcPr>
          <w:p>
            <w:r/>
            <w:r>
              <w:rPr>
                <w:sz w:val="19"/>
              </w:rPr>
              <w:t>-</w:t>
            </w:r>
          </w:p>
        </w:tc>
      </w:tr>
      <w:tr>
        <w:tc>
          <w:tcPr>
            <w:tcW w:type="dxa" w:w="3515"/>
          </w:tcPr>
          <w:p>
            <w:r/>
            <w:r>
              <w:rPr>
                <w:sz w:val="19"/>
              </w:rPr>
              <w:t>Enter Stock / PO / Excess Receipt No</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Enter SED TRX No; set LSCRR mode</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Import SIT / IRR; run reconciliation</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w:t>
            </w:r>
          </w:p>
        </w:tc>
      </w:tr>
      <w:tr>
        <w:tc>
          <w:tcPr>
            <w:tcW w:type="dxa" w:w="3515"/>
          </w:tcPr>
          <w:p>
            <w:r/>
            <w:r>
              <w:rPr>
                <w:sz w:val="19"/>
              </w:rPr>
              <w:t>Close IW</w:t>
            </w:r>
          </w:p>
        </w:tc>
        <w:tc>
          <w:tcPr>
            <w:tcW w:type="dxa" w:w="1361"/>
          </w:tcPr>
          <w:p>
            <w:r/>
            <w:r>
              <w:rPr>
                <w:sz w:val="19"/>
              </w:rPr>
              <w:t>Yes</w:t>
            </w:r>
          </w:p>
        </w:tc>
        <w:tc>
          <w:tcPr>
            <w:tcW w:type="dxa" w:w="1587"/>
          </w:tcPr>
          <w:p>
            <w:r/>
            <w:r>
              <w:rPr>
                <w:sz w:val="19"/>
              </w:rPr>
              <w:t>-</w:t>
            </w:r>
          </w:p>
        </w:tc>
        <w:tc>
          <w:tcPr>
            <w:tcW w:type="dxa" w:w="1474"/>
          </w:tcPr>
          <w:p>
            <w:r/>
            <w:r>
              <w:rPr>
                <w:sz w:val="19"/>
              </w:rPr>
              <w:t>Yes</w:t>
            </w:r>
          </w:p>
        </w:tc>
        <w:tc>
          <w:tcPr>
            <w:tcW w:type="dxa" w:w="1474"/>
          </w:tcPr>
          <w:p>
            <w:r/>
            <w:r>
              <w:rPr>
                <w:sz w:val="19"/>
              </w:rPr>
              <w:t>-</w:t>
            </w:r>
          </w:p>
        </w:tc>
      </w:tr>
      <w:tr>
        <w:tc>
          <w:tcPr>
            <w:tcW w:type="dxa" w:w="3515"/>
          </w:tcPr>
          <w:p>
            <w:r/>
            <w:r>
              <w:rPr>
                <w:sz w:val="19"/>
              </w:rPr>
              <w:t>Reopen closed IW / VOID IW</w:t>
            </w:r>
          </w:p>
        </w:tc>
        <w:tc>
          <w:tcPr>
            <w:tcW w:type="dxa" w:w="1361"/>
          </w:tcPr>
          <w:p>
            <w:r/>
            <w:r>
              <w:rPr>
                <w:sz w:val="19"/>
              </w:rPr>
              <w:t>Request</w:t>
            </w:r>
          </w:p>
        </w:tc>
        <w:tc>
          <w:tcPr>
            <w:tcW w:type="dxa" w:w="1587"/>
          </w:tcPr>
          <w:p>
            <w:r/>
            <w:r>
              <w:rPr>
                <w:sz w:val="19"/>
              </w:rPr>
              <w:t>Request</w:t>
            </w:r>
          </w:p>
        </w:tc>
        <w:tc>
          <w:tcPr>
            <w:tcW w:type="dxa" w:w="1474"/>
          </w:tcPr>
          <w:p>
            <w:r/>
            <w:r>
              <w:rPr>
                <w:sz w:val="19"/>
              </w:rPr>
              <w:t>Approve</w:t>
            </w:r>
          </w:p>
        </w:tc>
        <w:tc>
          <w:tcPr>
            <w:tcW w:type="dxa" w:w="1474"/>
          </w:tcPr>
          <w:p>
            <w:r/>
            <w:r>
              <w:rPr>
                <w:sz w:val="19"/>
              </w:rPr>
              <w:t>-</w:t>
            </w:r>
          </w:p>
        </w:tc>
      </w:tr>
      <w:tr>
        <w:tc>
          <w:tcPr>
            <w:tcW w:type="dxa" w:w="3515"/>
          </w:tcPr>
          <w:p>
            <w:r/>
            <w:r>
              <w:rPr>
                <w:sz w:val="19"/>
              </w:rPr>
              <w:t>Mail-Pending Release</w:t>
            </w:r>
          </w:p>
        </w:tc>
        <w:tc>
          <w:tcPr>
            <w:tcW w:type="dxa" w:w="1361"/>
          </w:tcPr>
          <w:p>
            <w:r/>
            <w:r>
              <w:rPr>
                <w:sz w:val="19"/>
              </w:rPr>
              <w:t>-</w:t>
            </w:r>
          </w:p>
        </w:tc>
        <w:tc>
          <w:tcPr>
            <w:tcW w:type="dxa" w:w="1587"/>
          </w:tcPr>
          <w:p>
            <w:r/>
            <w:r>
              <w:rPr>
                <w:sz w:val="19"/>
              </w:rPr>
              <w:t>-</w:t>
            </w:r>
          </w:p>
        </w:tc>
        <w:tc>
          <w:tcPr>
            <w:tcW w:type="dxa" w:w="1474"/>
          </w:tcPr>
          <w:p>
            <w:r/>
            <w:r>
              <w:rPr>
                <w:sz w:val="19"/>
              </w:rPr>
              <w:t>Yes</w:t>
            </w:r>
          </w:p>
        </w:tc>
        <w:tc>
          <w:tcPr>
            <w:tcW w:type="dxa" w:w="1474"/>
          </w:tcPr>
          <w:p>
            <w:r/>
            <w:r>
              <w:rPr>
                <w:sz w:val="19"/>
              </w:rPr>
              <w:t>-</w:t>
            </w:r>
          </w:p>
        </w:tc>
      </w:tr>
      <w:tr>
        <w:tc>
          <w:tcPr>
            <w:tcW w:type="dxa" w:w="3515"/>
          </w:tcPr>
          <w:p>
            <w:r/>
            <w:r>
              <w:rPr>
                <w:sz w:val="19"/>
              </w:rPr>
              <w:t>Resolve critical exceptions</w:t>
            </w:r>
          </w:p>
        </w:tc>
        <w:tc>
          <w:tcPr>
            <w:tcW w:type="dxa" w:w="1361"/>
          </w:tcPr>
          <w:p>
            <w:r/>
            <w:r>
              <w:rPr>
                <w:sz w:val="19"/>
              </w:rPr>
              <w:t>-</w:t>
            </w:r>
          </w:p>
        </w:tc>
        <w:tc>
          <w:tcPr>
            <w:tcW w:type="dxa" w:w="1587"/>
          </w:tcPr>
          <w:p>
            <w:r/>
            <w:r>
              <w:rPr>
                <w:sz w:val="19"/>
              </w:rPr>
              <w:t>Propose</w:t>
            </w:r>
          </w:p>
        </w:tc>
        <w:tc>
          <w:tcPr>
            <w:tcW w:type="dxa" w:w="1474"/>
          </w:tcPr>
          <w:p>
            <w:r/>
            <w:r>
              <w:rPr>
                <w:sz w:val="19"/>
              </w:rPr>
              <w:t>Approve</w:t>
            </w:r>
          </w:p>
        </w:tc>
        <w:tc>
          <w:tcPr>
            <w:tcW w:type="dxa" w:w="1474"/>
          </w:tcPr>
          <w:p>
            <w:r/>
            <w:r>
              <w:rPr>
                <w:sz w:val="19"/>
              </w:rPr>
              <w:t>-</w:t>
            </w:r>
          </w:p>
        </w:tc>
      </w:tr>
      <w:tr>
        <w:tc>
          <w:tcPr>
            <w:tcW w:type="dxa" w:w="3515"/>
          </w:tcPr>
          <w:p>
            <w:r/>
            <w:r>
              <w:rPr>
                <w:sz w:val="19"/>
              </w:rPr>
              <w:t>Propose / approve master changes</w:t>
            </w:r>
          </w:p>
        </w:tc>
        <w:tc>
          <w:tcPr>
            <w:tcW w:type="dxa" w:w="1361"/>
          </w:tcPr>
          <w:p>
            <w:r/>
            <w:r>
              <w:rPr>
                <w:sz w:val="19"/>
              </w:rPr>
              <w:t>Propose</w:t>
            </w:r>
          </w:p>
        </w:tc>
        <w:tc>
          <w:tcPr>
            <w:tcW w:type="dxa" w:w="1587"/>
          </w:tcPr>
          <w:p>
            <w:r/>
            <w:r>
              <w:rPr>
                <w:sz w:val="19"/>
              </w:rPr>
              <w:t>Propose</w:t>
            </w:r>
          </w:p>
        </w:tc>
        <w:tc>
          <w:tcPr>
            <w:tcW w:type="dxa" w:w="1474"/>
          </w:tcPr>
          <w:p>
            <w:r/>
            <w:r>
              <w:rPr>
                <w:sz w:val="19"/>
              </w:rPr>
              <w:t>Approve</w:t>
            </w:r>
          </w:p>
        </w:tc>
        <w:tc>
          <w:tcPr>
            <w:tcW w:type="dxa" w:w="1474"/>
          </w:tcPr>
          <w:p>
            <w:r/>
            <w:r>
              <w:rPr>
                <w:sz w:val="19"/>
              </w:rPr>
              <w:t>-</w:t>
            </w:r>
          </w:p>
        </w:tc>
      </w:tr>
      <w:tr>
        <w:tc>
          <w:tcPr>
            <w:tcW w:type="dxa" w:w="3515"/>
          </w:tcPr>
          <w:p>
            <w:r/>
            <w:r>
              <w:rPr>
                <w:sz w:val="19"/>
              </w:rPr>
              <w:t>Manage users, roles, permissions</w:t>
            </w:r>
          </w:p>
        </w:tc>
        <w:tc>
          <w:tcPr>
            <w:tcW w:type="dxa" w:w="1361"/>
          </w:tcPr>
          <w:p>
            <w:r/>
            <w:r>
              <w:rPr>
                <w:sz w:val="19"/>
              </w:rPr>
              <w:t>-</w:t>
            </w:r>
          </w:p>
        </w:tc>
        <w:tc>
          <w:tcPr>
            <w:tcW w:type="dxa" w:w="1587"/>
          </w:tcPr>
          <w:p>
            <w:r/>
            <w:r>
              <w:rPr>
                <w:sz w:val="19"/>
              </w:rPr>
              <w:t>-</w:t>
            </w:r>
          </w:p>
        </w:tc>
        <w:tc>
          <w:tcPr>
            <w:tcW w:type="dxa" w:w="1474"/>
          </w:tcPr>
          <w:p>
            <w:r/>
            <w:r>
              <w:rPr>
                <w:sz w:val="19"/>
              </w:rPr>
              <w:t>Yes</w:t>
            </w:r>
          </w:p>
        </w:tc>
        <w:tc>
          <w:tcPr>
            <w:tcW w:type="dxa" w:w="1474"/>
          </w:tcPr>
          <w:p>
            <w:r/>
            <w:r>
              <w:rPr>
                <w:sz w:val="19"/>
              </w:rPr>
              <w:t>Technical only</w:t>
            </w:r>
          </w:p>
        </w:tc>
      </w:tr>
      <w:tr>
        <w:tc>
          <w:tcPr>
            <w:tcW w:type="dxa" w:w="3515"/>
          </w:tcPr>
          <w:p>
            <w:r/>
            <w:r>
              <w:rPr>
                <w:sz w:val="19"/>
              </w:rPr>
              <w:t>System configuration, backup, health</w:t>
            </w:r>
          </w:p>
        </w:tc>
        <w:tc>
          <w:tcPr>
            <w:tcW w:type="dxa" w:w="1361"/>
          </w:tcPr>
          <w:p>
            <w:r/>
            <w:r>
              <w:rPr>
                <w:sz w:val="19"/>
              </w:rPr>
              <w:t>-</w:t>
            </w:r>
          </w:p>
        </w:tc>
        <w:tc>
          <w:tcPr>
            <w:tcW w:type="dxa" w:w="1587"/>
          </w:tcPr>
          <w:p>
            <w:r/>
            <w:r>
              <w:rPr>
                <w:sz w:val="19"/>
              </w:rPr>
              <w:t>-</w:t>
            </w:r>
          </w:p>
        </w:tc>
        <w:tc>
          <w:tcPr>
            <w:tcW w:type="dxa" w:w="1474"/>
          </w:tcPr>
          <w:p>
            <w:r/>
            <w:r>
              <w:rPr>
                <w:sz w:val="19"/>
              </w:rPr>
              <w:t>View</w:t>
            </w:r>
          </w:p>
        </w:tc>
        <w:tc>
          <w:tcPr>
            <w:tcW w:type="dxa" w:w="1474"/>
          </w:tcPr>
          <w:p>
            <w:r/>
            <w:r>
              <w:rPr>
                <w:sz w:val="19"/>
              </w:rPr>
              <w:t>Yes</w:t>
            </w:r>
          </w:p>
        </w:tc>
      </w:tr>
      <w:tr>
        <w:tc>
          <w:tcPr>
            <w:tcW w:type="dxa" w:w="3515"/>
          </w:tcPr>
          <w:p>
            <w:r/>
            <w:r>
              <w:rPr>
                <w:sz w:val="19"/>
              </w:rPr>
              <w:t>Search, audit view, reports</w:t>
            </w:r>
          </w:p>
        </w:tc>
        <w:tc>
          <w:tcPr>
            <w:tcW w:type="dxa" w:w="1361"/>
          </w:tcPr>
          <w:p>
            <w:r/>
            <w:r>
              <w:rPr>
                <w:sz w:val="19"/>
              </w:rPr>
              <w:t>Yes</w:t>
            </w:r>
          </w:p>
        </w:tc>
        <w:tc>
          <w:tcPr>
            <w:tcW w:type="dxa" w:w="1587"/>
          </w:tcPr>
          <w:p>
            <w:r/>
            <w:r>
              <w:rPr>
                <w:sz w:val="19"/>
              </w:rPr>
              <w:t>Yes</w:t>
            </w:r>
          </w:p>
        </w:tc>
        <w:tc>
          <w:tcPr>
            <w:tcW w:type="dxa" w:w="1474"/>
          </w:tcPr>
          <w:p>
            <w:r/>
            <w:r>
              <w:rPr>
                <w:sz w:val="19"/>
              </w:rPr>
              <w:t>Yes</w:t>
            </w:r>
          </w:p>
        </w:tc>
        <w:tc>
          <w:tcPr>
            <w:tcW w:type="dxa" w:w="1474"/>
          </w:tcPr>
          <w:p>
            <w:r/>
            <w:r>
              <w:rPr>
                <w:sz w:val="19"/>
              </w:rPr>
              <w:t>Yes</w:t>
            </w:r>
          </w:p>
        </w:tc>
      </w:tr>
    </w:tbl>
    <w:p>
      <w:pPr>
        <w:spacing w:after="40"/>
      </w:pPr>
    </w:p>
    <w:p>
      <w:pPr>
        <w:pStyle w:val="ListBullet"/>
        <w:spacing w:after="40"/>
      </w:pPr>
      <w:r>
        <w:t>Depot Manager and Admin Officer receive notifications/reports; read-only Viewer role if they need log-in.</w:t>
      </w:r>
    </w:p>
    <w:p>
      <w:pPr>
        <w:pStyle w:val="ListBullet"/>
        <w:spacing w:after="40"/>
      </w:pPr>
      <w:r>
        <w:t>Maker-checker: no self-approval; nobody changes their own roles. One audited break-glass Administrator account.</w:t>
      </w:r>
    </w:p>
    <w:p>
      <w:pPr>
        <w:pStyle w:val="ListBullet"/>
        <w:spacing w:after="40"/>
      </w:pPr>
      <w:r>
        <w:t>Optional claim-value threshold requiring CFA Manager approval (disabled until set).</w:t>
      </w:r>
    </w:p>
    <w:p>
      <w:pPr>
        <w:pStyle w:val="Heading1"/>
      </w:pPr>
      <w:r>
        <w:t>13. Screen 09 - Reports, Escalations &amp; MIS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3969"/>
            <w:shd w:val="clear" w:color="auto" w:fill="1F3A5F"/>
          </w:tcPr>
          <w:p>
            <w:r/>
            <w:r>
              <w:rPr>
                <w:b/>
                <w:color w:val="FFFFFF"/>
                <w:sz w:val="19"/>
              </w:rPr>
              <w:t>Report</w:t>
            </w:r>
          </w:p>
        </w:tc>
        <w:tc>
          <w:tcPr>
            <w:tcW w:type="dxa" w:w="1814"/>
            <w:shd w:val="clear" w:color="auto" w:fill="1F3A5F"/>
          </w:tcPr>
          <w:p>
            <w:r/>
            <w:r>
              <w:rPr>
                <w:b/>
                <w:color w:val="FFFFFF"/>
                <w:sz w:val="19"/>
              </w:rPr>
              <w:t>Admin Officer</w:t>
            </w:r>
          </w:p>
        </w:tc>
        <w:tc>
          <w:tcPr>
            <w:tcW w:type="dxa" w:w="1814"/>
            <w:shd w:val="clear" w:color="auto" w:fill="1F3A5F"/>
          </w:tcPr>
          <w:p>
            <w:r/>
            <w:r>
              <w:rPr>
                <w:b/>
                <w:color w:val="FFFFFF"/>
                <w:sz w:val="19"/>
              </w:rPr>
              <w:t>CFA Manager</w:t>
            </w:r>
          </w:p>
        </w:tc>
        <w:tc>
          <w:tcPr>
            <w:tcW w:type="dxa" w:w="1814"/>
            <w:shd w:val="clear" w:color="auto" w:fill="1F3A5F"/>
          </w:tcPr>
          <w:p>
            <w:r/>
            <w:r>
              <w:rPr>
                <w:b/>
                <w:color w:val="FFFFFF"/>
                <w:sz w:val="19"/>
              </w:rPr>
              <w:t>Clerk</w:t>
            </w:r>
          </w:p>
        </w:tc>
      </w:tr>
      <w:tr>
        <w:tc>
          <w:tcPr>
            <w:tcW w:type="dxa" w:w="3969"/>
          </w:tcPr>
          <w:p>
            <w:r/>
            <w:r>
              <w:rPr>
                <w:sz w:val="19"/>
              </w:rPr>
              <w:t>Daily Escalation / Exception Report</w:t>
            </w:r>
          </w:p>
        </w:tc>
        <w:tc>
          <w:tcPr>
            <w:tcW w:type="dxa" w:w="1814"/>
          </w:tcPr>
          <w:p>
            <w:r/>
            <w:r>
              <w:rPr>
                <w:sz w:val="19"/>
              </w:rPr>
              <w:t>Yes</w:t>
            </w:r>
          </w:p>
        </w:tc>
        <w:tc>
          <w:tcPr>
            <w:tcW w:type="dxa" w:w="1814"/>
          </w:tcPr>
          <w:p>
            <w:r/>
            <w:r>
              <w:rPr>
                <w:sz w:val="19"/>
              </w:rPr>
              <w:t>Yes</w:t>
            </w:r>
          </w:p>
        </w:tc>
        <w:tc>
          <w:tcPr>
            <w:tcW w:type="dxa" w:w="1814"/>
          </w:tcPr>
          <w:p>
            <w:r/>
            <w:r>
              <w:rPr>
                <w:sz w:val="19"/>
              </w:rPr>
              <w:t>Yes</w:t>
            </w:r>
          </w:p>
        </w:tc>
      </w:tr>
      <w:tr>
        <w:tc>
          <w:tcPr>
            <w:tcW w:type="dxa" w:w="3969"/>
          </w:tcPr>
          <w:p>
            <w:r/>
            <w:r>
              <w:rPr>
                <w:sz w:val="19"/>
              </w:rPr>
              <w:t>Monthly Management MIS</w:t>
            </w:r>
          </w:p>
        </w:tc>
        <w:tc>
          <w:tcPr>
            <w:tcW w:type="dxa" w:w="1814"/>
          </w:tcPr>
          <w:p>
            <w:r/>
            <w:r>
              <w:rPr>
                <w:sz w:val="19"/>
              </w:rPr>
              <w:t>Yes</w:t>
            </w:r>
          </w:p>
        </w:tc>
        <w:tc>
          <w:tcPr>
            <w:tcW w:type="dxa" w:w="1814"/>
          </w:tcPr>
          <w:p>
            <w:r/>
            <w:r>
              <w:rPr>
                <w:sz w:val="19"/>
              </w:rPr>
              <w:t>Yes</w:t>
            </w:r>
          </w:p>
        </w:tc>
        <w:tc>
          <w:tcPr>
            <w:tcW w:type="dxa" w:w="1814"/>
          </w:tcPr>
          <w:p>
            <w:r/>
            <w:r>
              <w:rPr>
                <w:sz w:val="19"/>
              </w:rPr>
              <w:t>Yes</w:t>
            </w:r>
          </w:p>
        </w:tc>
      </w:tr>
      <w:tr>
        <w:tc>
          <w:tcPr>
            <w:tcW w:type="dxa" w:w="3969"/>
          </w:tcPr>
          <w:p>
            <w:r/>
            <w:r>
              <w:rPr>
                <w:sz w:val="19"/>
              </w:rPr>
              <w:t>SED Report</w:t>
            </w:r>
          </w:p>
        </w:tc>
        <w:tc>
          <w:tcPr>
            <w:tcW w:type="dxa" w:w="1814"/>
          </w:tcPr>
          <w:p>
            <w:r/>
            <w:r>
              <w:rPr>
                <w:sz w:val="19"/>
              </w:rPr>
              <w:t>Yes</w:t>
            </w:r>
          </w:p>
        </w:tc>
        <w:tc>
          <w:tcPr>
            <w:tcW w:type="dxa" w:w="1814"/>
          </w:tcPr>
          <w:p>
            <w:r/>
            <w:r>
              <w:rPr>
                <w:sz w:val="19"/>
              </w:rPr>
              <w:t>Yes</w:t>
            </w:r>
          </w:p>
        </w:tc>
        <w:tc>
          <w:tcPr>
            <w:tcW w:type="dxa" w:w="1814"/>
          </w:tcPr>
          <w:p>
            <w:r/>
            <w:r>
              <w:rPr>
                <w:sz w:val="19"/>
              </w:rPr>
              <w:t>Yes</w:t>
            </w:r>
          </w:p>
        </w:tc>
      </w:tr>
      <w:tr>
        <w:tc>
          <w:tcPr>
            <w:tcW w:type="dxa" w:w="3969"/>
          </w:tcPr>
          <w:p>
            <w:r/>
            <w:r>
              <w:rPr>
                <w:sz w:val="19"/>
              </w:rPr>
              <w:t>IRR Reconciliation Report</w:t>
            </w:r>
          </w:p>
        </w:tc>
        <w:tc>
          <w:tcPr>
            <w:tcW w:type="dxa" w:w="1814"/>
          </w:tcPr>
          <w:p>
            <w:r/>
            <w:r>
              <w:rPr>
                <w:sz w:val="19"/>
              </w:rPr>
              <w:t>Yes</w:t>
            </w:r>
          </w:p>
        </w:tc>
        <w:tc>
          <w:tcPr>
            <w:tcW w:type="dxa" w:w="1814"/>
          </w:tcPr>
          <w:p>
            <w:r/>
            <w:r>
              <w:rPr>
                <w:sz w:val="19"/>
              </w:rPr>
              <w:t>Yes</w:t>
            </w:r>
          </w:p>
        </w:tc>
        <w:tc>
          <w:tcPr>
            <w:tcW w:type="dxa" w:w="1814"/>
          </w:tcPr>
          <w:p>
            <w:r/>
            <w:r>
              <w:rPr>
                <w:sz w:val="19"/>
              </w:rPr>
              <w:t>Yes</w:t>
            </w:r>
          </w:p>
        </w:tc>
      </w:tr>
      <w:tr>
        <w:tc>
          <w:tcPr>
            <w:tcW w:type="dxa" w:w="3969"/>
          </w:tcPr>
          <w:p>
            <w:r/>
            <w:r>
              <w:rPr>
                <w:sz w:val="19"/>
              </w:rPr>
              <w:t>Daily Unloading Collection Status</w:t>
            </w:r>
          </w:p>
        </w:tc>
        <w:tc>
          <w:tcPr>
            <w:tcW w:type="dxa" w:w="1814"/>
          </w:tcPr>
          <w:p>
            <w:r/>
            <w:r>
              <w:rPr>
                <w:sz w:val="19"/>
              </w:rPr>
              <w:t>No</w:t>
            </w:r>
          </w:p>
        </w:tc>
        <w:tc>
          <w:tcPr>
            <w:tcW w:type="dxa" w:w="1814"/>
          </w:tcPr>
          <w:p>
            <w:r/>
            <w:r>
              <w:rPr>
                <w:sz w:val="19"/>
              </w:rPr>
              <w:t>Yes only</w:t>
            </w:r>
          </w:p>
        </w:tc>
        <w:tc>
          <w:tcPr>
            <w:tcW w:type="dxa" w:w="1814"/>
          </w:tcPr>
          <w:p>
            <w:r/>
            <w:r>
              <w:rPr>
                <w:sz w:val="19"/>
              </w:rPr>
              <w:t>No</w:t>
            </w:r>
          </w:p>
        </w:tc>
      </w:tr>
    </w:tbl>
    <w:p>
      <w:pPr>
        <w:spacing w:after="40"/>
      </w:pPr>
    </w:p>
    <w:p>
      <w:pPr>
        <w:pStyle w:val="ListBullet"/>
        <w:spacing w:after="40"/>
      </w:pPr>
      <w:r>
        <w:t>Recipients controlled by Notification Master; delivery audit logged; sent through the same mail queue.</w:t>
      </w:r>
    </w:p>
    <w:p>
      <w:pPr>
        <w:pStyle w:val="ListBullet"/>
        <w:spacing w:after="40"/>
      </w:pPr>
      <w:r>
        <w:t>Immediate SED notification (Depot Manager + Admin Officer + CFA Manager) remains separate, at MRA stage.</w:t>
      </w:r>
    </w:p>
    <w:p>
      <w:pPr>
        <w:pStyle w:val="ListBullet"/>
        <w:spacing w:after="40"/>
      </w:pPr>
      <w:r>
        <w:t>Daily escalation: open/aged IWs, SIT partial/abnormal/never-linked Ships, ERP pending, IRR pending/not found/review, open SED, SED approvals pending or rejected, mail-pending releases, key claim values.</w:t>
      </w:r>
    </w:p>
    <w:p>
      <w:pPr>
        <w:pStyle w:val="ListBullet"/>
        <w:spacing w:after="40"/>
      </w:pPr>
      <w:r>
        <w:t>Daily unloading report: charges recorded, collected, ledger-posted/outstanding, payment status; CFA Manager only.</w:t>
      </w:r>
    </w:p>
    <w:p>
      <w:pPr>
        <w:pStyle w:val="ListBullet"/>
        <w:spacing w:after="40"/>
      </w:pPr>
      <w:r>
        <w:t>Monthly MIS: volumes, IWs, closure time, SED, ERP/IRR quality, unloading financials; Non-Stock Receipt Register reported separately.</w:t>
      </w:r>
    </w:p>
    <w:p>
      <w:pPr>
        <w:pStyle w:val="ListBullet"/>
        <w:spacing w:after="40"/>
      </w:pPr>
      <w:r>
        <w:t>Exception lifecycle stores created / first escalated / last escalated / count / resolved to avoid repeated spam.</w:t>
      </w:r>
    </w:p>
    <w:p>
      <w:pPr>
        <w:pStyle w:val="Heading1"/>
      </w:pPr>
      <w:r>
        <w:t>14. Production Architecture &amp; Reliability</w:t>
      </w:r>
    </w:p>
    <w:tbl>
      <w:tblPr>
        <w:tblStyle w:val="TableGrid"/>
        <w:tblW w:type="auto" w:w="0"/>
        <w:jc w:val="center"/>
        <w:tblLook w:firstColumn="1" w:firstRow="1" w:lastColumn="0" w:lastRow="0" w:noHBand="0" w:noVBand="1" w:val="04A0"/>
      </w:tblPr>
      <w:tblGrid>
        <w:gridCol w:w="4706"/>
        <w:gridCol w:w="4706"/>
      </w:tblGrid>
      <w:tr>
        <w:tc>
          <w:tcPr>
            <w:tcW w:type="dxa" w:w="2041"/>
            <w:shd w:val="clear" w:color="auto" w:fill="1F3A5F"/>
          </w:tcPr>
          <w:p>
            <w:r/>
            <w:r>
              <w:rPr>
                <w:b/>
                <w:color w:val="FFFFFF"/>
                <w:sz w:val="19"/>
              </w:rPr>
              <w:t>Layer</w:t>
            </w:r>
          </w:p>
        </w:tc>
        <w:tc>
          <w:tcPr>
            <w:tcW w:type="dxa" w:w="7370"/>
            <w:shd w:val="clear" w:color="auto" w:fill="1F3A5F"/>
          </w:tcPr>
          <w:p>
            <w:r/>
            <w:r>
              <w:rPr>
                <w:b/>
                <w:color w:val="FFFFFF"/>
                <w:sz w:val="19"/>
              </w:rPr>
              <w:t>Approved Direction</w:t>
            </w:r>
          </w:p>
        </w:tc>
      </w:tr>
      <w:tr>
        <w:tc>
          <w:tcPr>
            <w:tcW w:type="dxa" w:w="2041"/>
          </w:tcPr>
          <w:p>
            <w:r/>
            <w:r>
              <w:rPr>
                <w:sz w:val="19"/>
              </w:rPr>
              <w:t>UI</w:t>
            </w:r>
          </w:p>
        </w:tc>
        <w:tc>
          <w:tcPr>
            <w:tcW w:type="dxa" w:w="7370"/>
          </w:tcPr>
          <w:p>
            <w:r>
              <w:t>Django web application: server-rendered templates with HTMX for interactive parts; responsive layout for PC, tablet and phone. Views are thin: they collect input and show results only.</w:t>
            </w:r>
          </w:p>
        </w:tc>
      </w:tr>
      <w:tr>
        <w:tc>
          <w:tcPr>
            <w:tcW w:type="dxa" w:w="2041"/>
          </w:tcPr>
          <w:p>
            <w:r/>
            <w:r>
              <w:rPr>
                <w:sz w:val="19"/>
              </w:rPr>
              <w:t>Business layer</w:t>
            </w:r>
          </w:p>
        </w:tc>
        <w:tc>
          <w:tcPr>
            <w:tcW w:type="dxa" w:w="7370"/>
          </w:tcPr>
          <w:p>
            <w:r/>
            <w:r>
              <w:rPr>
                <w:sz w:val="19"/>
              </w:rPr>
              <w:t>Separate Python services: workflow, gates, reconciliation, importers, documents, reports, permissions. UI-independent (replaceable later by another web front end).</w:t>
            </w:r>
          </w:p>
        </w:tc>
      </w:tr>
      <w:tr>
        <w:tc>
          <w:tcPr>
            <w:tcW w:type="dxa" w:w="2041"/>
          </w:tcPr>
          <w:p>
            <w:r/>
            <w:r>
              <w:rPr>
                <w:sz w:val="19"/>
              </w:rPr>
              <w:t>Database</w:t>
            </w:r>
          </w:p>
        </w:tc>
        <w:tc>
          <w:tcPr>
            <w:tcW w:type="dxa" w:w="7370"/>
          </w:tcPr>
          <w:p>
            <w:r>
              <w:t>PostgreSQL 18 installed natively on the VPS; reachable only by the application, never from the internet.</w:t>
            </w:r>
          </w:p>
        </w:tc>
      </w:tr>
      <w:tr>
        <w:tc>
          <w:tcPr>
            <w:tcW w:type="dxa" w:w="2041"/>
          </w:tcPr>
          <w:p>
            <w:r/>
            <w:r>
              <w:rPr>
                <w:sz w:val="19"/>
              </w:rPr>
              <w:t>Data access</w:t>
            </w:r>
          </w:p>
        </w:tc>
        <w:tc>
          <w:tcPr>
            <w:tcW w:type="dxa" w:w="7370"/>
          </w:tcPr>
          <w:p>
            <w:r>
              <w:t>Django ORM and Django migrations only (the append-only audit trigger is a SQL migration).</w:t>
            </w:r>
          </w:p>
        </w:tc>
      </w:tr>
      <w:tr>
        <w:tc>
          <w:tcPr>
            <w:tcW w:type="dxa" w:w="2041"/>
          </w:tcPr>
          <w:p>
            <w:r/>
            <w:r>
              <w:rPr>
                <w:sz w:val="19"/>
              </w:rPr>
              <w:t>Documents</w:t>
            </w:r>
          </w:p>
        </w:tc>
        <w:tc>
          <w:tcPr>
            <w:tcW w:type="dxa" w:w="7370"/>
          </w:tcPr>
          <w:p>
            <w:r>
              <w:t>Django storage API. Every document is written to the VPS first and copied to the RAINBOW LOGISTICS OneDrive within minutes; after 12 months closed IWs are kept on OneDrive only and fetched on demand.</w:t>
            </w:r>
          </w:p>
        </w:tc>
      </w:tr>
      <w:tr>
        <w:tc>
          <w:tcPr>
            <w:tcW w:type="dxa" w:w="2041"/>
          </w:tcPr>
          <w:p>
            <w:r/>
            <w:r>
              <w:rPr>
                <w:sz w:val="19"/>
              </w:rPr>
              <w:t>Background workers</w:t>
            </w:r>
          </w:p>
        </w:tc>
        <w:tc>
          <w:tcPr>
            <w:tcW w:type="dxa" w:w="7370"/>
          </w:tcPr>
          <w:p>
            <w:r>
              <w:t>Separate worker process: mail queue (Gmail SMTP/IMAP), imports, reconciliation, reports, dossier ZIP, backups. SIT is fetched only when the clerk presses 'Fetch from Gmail' (no schedule). PostgreSQL-backed job queue.</w:t>
            </w:r>
          </w:p>
        </w:tc>
      </w:tr>
      <w:tr>
        <w:tc>
          <w:tcPr>
            <w:tcW w:type="dxa" w:w="2041"/>
          </w:tcPr>
          <w:p>
            <w:r/>
            <w:r>
              <w:rPr>
                <w:sz w:val="19"/>
              </w:rPr>
              <w:t>Deployment</w:t>
            </w:r>
          </w:p>
        </w:tc>
        <w:tc>
          <w:tcPr>
            <w:tcW w:type="dxa" w:w="7370"/>
          </w:tcPr>
          <w:p>
            <w:r>
              <w:t>Hostinger KVM 2 VPS (2 vCPU, 8 GB RAM, 100 GB NVMe), Ubuntu 24.04 LTS, native install: Nginx (HTTPS) -&gt; Gunicorn -&gt; Django under systemd; worker; PostgreSQL. See 14.6.</w:t>
            </w:r>
          </w:p>
        </w:tc>
      </w:tr>
      <w:tr>
        <w:tc>
          <w:tcPr>
            <w:tcW w:type="dxa" w:w="2041"/>
          </w:tcPr>
          <w:p>
            <w:r/>
            <w:r>
              <w:rPr>
                <w:sz w:val="19"/>
              </w:rPr>
              <w:t>Configuration</w:t>
            </w:r>
          </w:p>
        </w:tc>
        <w:tc>
          <w:tcPr>
            <w:tcW w:type="dxa" w:w="7370"/>
          </w:tcPr>
          <w:p>
            <w:r/>
            <w:r>
              <w:rPr>
                <w:sz w:val="19"/>
              </w:rPr>
              <w:t>Environment-driven; no machine-specific paths in business logic.</w:t>
            </w:r>
          </w:p>
        </w:tc>
      </w:tr>
      <w:tr>
        <w:tc>
          <w:tcPr>
            <w:tcW w:type="dxa" w:w="2041"/>
          </w:tcPr>
          <w:p>
            <w:r/>
            <w:r>
              <w:rPr>
                <w:sz w:val="19"/>
              </w:rPr>
              <w:t>Authentication</w:t>
            </w:r>
          </w:p>
        </w:tc>
        <w:tc>
          <w:tcPr>
            <w:tcW w:type="dxa" w:w="7370"/>
          </w:tcPr>
          <w:p>
            <w:r>
              <w:t>Django authentication; Argon2 password hashing; mandatory two-factor sign-in (authenticator app) for every user; lock-out after 5 failures; 30-minute idle time-out. See 14.5.</w:t>
            </w:r>
          </w:p>
        </w:tc>
      </w:tr>
      <w:tr>
        <w:tc>
          <w:tcPr>
            <w:tcW w:type="dxa" w:w="2041"/>
          </w:tcPr>
          <w:p>
            <w:r/>
            <w:r>
              <w:rPr>
                <w:sz w:val="19"/>
              </w:rPr>
              <w:t>PDF generation</w:t>
            </w:r>
          </w:p>
        </w:tc>
        <w:tc>
          <w:tcPr>
            <w:tcW w:type="dxa" w:w="7370"/>
          </w:tcPr>
          <w:p>
            <w:r>
              <w:t>Server-side WeasyPrint from Django HTML templates; opened in the browser for printing.</w:t>
            </w:r>
          </w:p>
        </w:tc>
      </w:tr>
    </w:tbl>
    <w:p>
      <w:pPr>
        <w:spacing w:after="40"/>
      </w:pPr>
    </w:p>
    <w:p>
      <w:pPr>
        <w:pStyle w:val="Heading2"/>
      </w:pPr>
      <w:r>
        <w:t>14.1 Concurrency &amp; Atomicity</w:t>
      </w:r>
    </w:p>
    <w:p>
      <w:pPr>
        <w:pStyle w:val="ListBullet"/>
        <w:spacing w:after="40"/>
      </w:pPr>
      <w:r>
        <w:t>IW numbers from a locked per-FY counter; never 'last number + 1' in the UI.</w:t>
      </w:r>
    </w:p>
    <w:p>
      <w:pPr>
        <w:pStyle w:val="ListBullet"/>
        <w:spacing w:after="40"/>
      </w:pPr>
      <w:r>
        <w:t>Optimistic version checks on every update; stale edits rejected.</w:t>
      </w:r>
    </w:p>
    <w:p>
      <w:pPr>
        <w:pStyle w:val="ListBullet"/>
        <w:spacing w:after="40"/>
      </w:pPr>
      <w:r>
        <w:t>Critical operations (IW creation, MRA completion, ledger posting, imports, reconciliation commit, closure) run in single database transactions with rollback.</w:t>
      </w:r>
    </w:p>
    <w:p>
      <w:pPr>
        <w:pStyle w:val="ListBullet"/>
        <w:spacing w:after="40"/>
      </w:pPr>
      <w:r>
        <w:t>Sessions hold sign-in state only; transaction data lives only in PostgreSQL. Every action re-checks permission, gate and row version in the service layer.</w:t>
      </w:r>
    </w:p>
    <w:p>
      <w:pPr>
        <w:pStyle w:val="Heading2"/>
      </w:pPr>
      <w:r>
        <w:t>14.2 Mail Engine - Gmail (SMTP + IMAP)</w:t>
      </w:r>
    </w:p>
    <w:p>
      <w:pPr>
        <w:pStyle w:val="ListBullet"/>
        <w:spacing w:after="40"/>
      </w:pPr>
      <w:r>
        <w:t>MailTransport interface (send, confirm_sent, fetch_latest). Implementation: GmailTransport - SMTP (smtp.gmail.com, TLS) for sending; IMAP (imap.gmail.com, SSL) for Sent Mail confirmation and the SIT fetch. Other transports (Gmail API with OAuth, Microsoft Graph) remain possible by configuration only.</w:t>
      </w:r>
    </w:p>
    <w:p>
      <w:pPr>
        <w:pStyle w:val="ListBullet"/>
        <w:spacing w:after="40"/>
      </w:pPr>
      <w:r>
        <w:t>Account: a dedicated Gmail account owned by RAINBOW LOGISTICS, used only by this application, with 2-Step Verification on and an App Password for the application. The App Password lives only in the server environment file.</w:t>
      </w:r>
    </w:p>
    <w:p>
      <w:pPr>
        <w:pStyle w:val="ListBullet"/>
        <w:spacing w:after="40"/>
      </w:pPr>
      <w:r>
        <w:t>Only the worker process sends or reads mail; web requests never talk to Gmail directly. The SIT e-mail must arrive in this account, directly or through a forwarding rule set up by RAINBOW LOGISTICS.</w:t>
      </w:r>
    </w:p>
    <w:p>
      <w:pPr>
        <w:pStyle w:val="ListBullet"/>
        <w:spacing w:after="40"/>
      </w:pPr>
      <w:r>
        <w:t>Every message is stamped with a unique reference (subject tag, e.g. [IW-2627-000123 MRA-R01 #C-000456], plus a custom X-Inward-Stamp header and an application-generated Message-ID).</w:t>
      </w:r>
    </w:p>
    <w:p>
      <w:pPr>
        <w:pStyle w:val="ListBullet"/>
        <w:spacing w:after="40"/>
      </w:pPr>
      <w:r>
        <w:t>Send -&gt; QUEUED (accepted by Gmail SMTP). SENT only when the stamped message is found in the Gmail 'Sent Mail' folder through IMAP (matched on Message-ID and stamp); then timestamp, Message-ID, recipients, subject, body, attachment hashes and a full .eml copy are stored.</w:t>
      </w:r>
    </w:p>
    <w:p>
      <w:pPr>
        <w:pStyle w:val="ListBullet"/>
        <w:spacing w:after="40"/>
      </w:pPr>
      <w:r>
        <w:t>Not confirmed within 30 minutes (configurable) -&gt; FAILED_UNCONFIRMED -&gt; retry (max 3; Sent Mail searched first so no duplicate is sent) -&gt; alert. SMTP rejection or sign-in failure -&gt; FAILED with the error shown on the Health screen.</w:t>
      </w:r>
    </w:p>
    <w:p>
      <w:pPr>
        <w:pStyle w:val="ListBullet"/>
        <w:spacing w:after="40"/>
      </w:pPr>
      <w:r>
        <w:t>Server, internet or Gmail outage: messages stay in the application queue and go out when service returns; gates wait, and the Mail-Pending Release rules are unchanged. Gmail sending limits (about 500 recipients a day on a standard account) are far above this application's volume.</w:t>
      </w:r>
    </w:p>
    <w:p>
      <w:pPr>
        <w:pStyle w:val="ListBullet"/>
        <w:spacing w:after="40"/>
      </w:pPr>
      <w:r>
        <w:t>The worker also reads the Gmail inbox for SED approval replies (section 7.8); only messages carrying an application subject tag are processed, all other mail is ignored.</w:t>
      </w:r>
    </w:p>
    <w:p>
      <w:pPr>
        <w:pStyle w:val="Heading2"/>
      </w:pPr>
      <w:r>
        <w:t>14.3 Backup &amp; Recovery</w:t>
      </w:r>
    </w:p>
    <w:p>
      <w:pPr>
        <w:pStyle w:val="ListBullet"/>
        <w:spacing w:after="40"/>
      </w:pPr>
      <w:r>
        <w:t>Backup set: PostgreSQL + document store (including .eml evidence) + manifest.</w:t>
      </w:r>
    </w:p>
    <w:p>
      <w:pPr>
        <w:pStyle w:val="ListBullet"/>
        <w:spacing w:after="40"/>
      </w:pPr>
      <w:r>
        <w:t>Nightly encrypted backup (database dump + document store + manifest) kept on the VPS and copied to a separate backup folder in the RAINBOW LOGISTICS OneDrive. A VPS snapshot is taken before every application update.</w:t>
      </w:r>
    </w:p>
    <w:p>
      <w:pPr>
        <w:pStyle w:val="ListBullet"/>
        <w:spacing w:after="40"/>
      </w:pPr>
      <w:r>
        <w:t>Retention proposal: daily 30 days, weekly 12 weeks, monthly 12+ months, subject to company audit policy. Periodic restore tests.</w:t>
      </w:r>
    </w:p>
    <w:p>
      <w:pPr>
        <w:pStyle w:val="Heading2"/>
      </w:pPr>
      <w:r>
        <w:t>14.4 Health, Errors, Time and Storage</w:t>
      </w:r>
    </w:p>
    <w:p>
      <w:pPr>
        <w:pStyle w:val="ListBullet"/>
        <w:spacing w:after="40"/>
      </w:pPr>
      <w:r>
        <w:t>Admin Health screen: database, document storage and disk use (alert at 80%), worker status, Gmail SMTP/IMAP connectivity, HTTPS certificate expiry, latest SIT/IRR imports, last report, backup status, pending/failed jobs.</w:t>
      </w:r>
    </w:p>
    <w:p>
      <w:pPr>
        <w:pStyle w:val="ListBullet"/>
        <w:spacing w:after="40"/>
      </w:pPr>
      <w:r>
        <w:t>Users see friendly error reference IDs; tracebacks logged server-side with user/screen/IW/operation context.</w:t>
      </w:r>
    </w:p>
    <w:p>
      <w:pPr>
        <w:pStyle w:val="ListBullet"/>
        <w:spacing w:after="40"/>
      </w:pPr>
      <w:r>
        <w:t>Timestamps stored as UTC, displayed in IST (Asia/Kolkata); aging and daily reports use IST days.</w:t>
      </w:r>
    </w:p>
    <w:p>
      <w:pPr>
        <w:pStyle w:val="ListBullet"/>
        <w:spacing w:after="40"/>
      </w:pPr>
      <w:r>
        <w:t>Driver mobile masked in exports and MIS; full value on MRA only. Audit-view access logged.</w:t>
      </w:r>
    </w:p>
    <w:p>
      <w:pPr>
        <w:pStyle w:val="ListBullet"/>
        <w:spacing w:after="40"/>
      </w:pPr>
      <w:r>
        <w:t>Storage estimate about 60-90 GB/year (photos, scans, PDFs, .eml); originals kept. The 100 GB VPS disk alerts at 80%; older closed-IW documents move to OneDrive-only storage when needed (one 1 TB account covers 10+ years).</w:t>
      </w:r>
    </w:p>
    <w:p>
      <w:pPr>
        <w:pStyle w:val="ListBullet"/>
        <w:spacing w:after="40"/>
      </w:pPr>
      <w:r>
        <w:t>Designed for about 5-15 concurrent users; heavy jobs in background with progress indicator. Upload limit 50 MB; file type checked by content.</w:t>
      </w:r>
    </w:p>
    <w:p>
      <w:pPr>
        <w:pStyle w:val="Heading2"/>
        <w:spacing w:after="40"/>
      </w:pPr>
      <w:r>
        <w:t>14.5 Security</w:t>
      </w:r>
    </w:p>
    <w:p>
      <w:pPr>
        <w:pStyle w:val="ListBullet"/>
        <w:spacing w:after="40"/>
      </w:pPr>
      <w:r>
        <w:t>Sign-in: HTTPS only (Let's Encrypt certificate, automatic renewal, HSTS). Mandatory two-factor sign-in for every user with an authenticator app (e.g. Google Authenticator); one-time recovery codes issued at enrolment; a trusted device may skip the code for 30 days.</w:t>
      </w:r>
    </w:p>
    <w:p>
      <w:pPr>
        <w:pStyle w:val="ListBullet"/>
        <w:spacing w:after="40"/>
      </w:pPr>
      <w:r>
        <w:t>Passwords: Argon2 hashing, minimum 12 characters, lock-out for 15 minutes after 5 failures, 30-minute idle sign-out. Two-factor reset only by the CFA Manager with Administrator confirmation (maker-checker), audited.</w:t>
      </w:r>
    </w:p>
    <w:p>
      <w:pPr>
        <w:pStyle w:val="ListBullet"/>
        <w:spacing w:after="40"/>
      </w:pPr>
      <w:r>
        <w:t>Admin area: Django Admin at a non-default address, CFA Manager and Administrator only.</w:t>
      </w:r>
    </w:p>
    <w:p>
      <w:pPr>
        <w:pStyle w:val="ListBullet"/>
        <w:spacing w:after="40"/>
      </w:pPr>
      <w:r>
        <w:t>Server: firewall open only for HTTP/HTTPS (HTTP redirects to HTTPS) and SSH; SSH by key only, no root login, fail2ban against repeated attempts; automatic security updates. Optional Cloudflare proxy in front.</w:t>
      </w:r>
    </w:p>
    <w:p>
      <w:pPr>
        <w:pStyle w:val="ListBullet"/>
        <w:spacing w:after="40"/>
      </w:pPr>
      <w:r>
        <w:t>Database: PostgreSQL listens only on the server itself (local socket, peer login for the application user); never published to the internet.</w:t>
      </w:r>
    </w:p>
    <w:p>
      <w:pPr>
        <w:pStyle w:val="ListBullet"/>
        <w:spacing w:after="40"/>
      </w:pPr>
      <w:r>
        <w:t>Application: Django CSRF, XSS and clickjacking protections; Secure and HttpOnly cookies; strict security headers including a Content Security Policy; uploads checked by content and size; secrets only in the server environment file.</w:t>
      </w:r>
    </w:p>
    <w:p>
      <w:pPr>
        <w:pStyle w:val="ListBullet"/>
        <w:spacing w:after="40"/>
      </w:pPr>
      <w:r>
        <w:t>Every sign-in, failed sign-in, two-factor change and permission change is recorded in the audit trail.</w:t>
      </w:r>
    </w:p>
    <w:p>
      <w:pPr>
        <w:pStyle w:val="Heading2"/>
        <w:spacing w:after="40"/>
      </w:pPr>
      <w:r>
        <w:t>14.6 Hosting, Domain and Operations</w:t>
      </w:r>
    </w:p>
    <w:p>
      <w:pPr>
        <w:pStyle w:val="ListBullet"/>
        <w:spacing w:after="40"/>
      </w:pPr>
      <w:r>
        <w:t>OneDrive: interim - the existing Microsoft 365 Family account (business owner's decision, 14-Oct-2026); target - a Microsoft 365 Business plan. Connected through Microsoft's official API (one-time browser sign-in by RAINBOW LOGISTICS). Moving to the Business account later = copy the mirror folders and change the connection setting; the application and its records are unchanged because the VPS copy and SHA-256 fingerprints remain authoritative.</w:t>
      </w:r>
    </w:p>
    <w:p>
      <w:pPr>
        <w:pStyle w:val="ListBullet"/>
        <w:spacing w:after="40"/>
      </w:pPr>
      <w:r>
        <w:t>Server: Hostinger KVM 2 VPS (2 vCPU, 8 GB RAM, 100 GB NVMe; confirm current specifications at purchase), data centre nearest to India, Ubuntu 24.04 LTS, weekly provider backups and on-demand snapshots enabled. Provisioned: srv2053486.hstgr.cloud, IPv4 187.126.123.186.</w:t>
      </w:r>
    </w:p>
    <w:p>
      <w:pPr>
        <w:pStyle w:val="ListBullet"/>
        <w:spacing w:after="40"/>
      </w:pPr>
      <w:r>
        <w:t>Native install (approved 15-Oct-2026, replaces Docker Compose): the same server also runs RAINBOW LOGISTICS' accounts and attendance applications, which are never disturbed. The application runs as its own Linux user 'inward' under systemd (inward@uat on port 8100, inward@live on port 8110) behind a separate Nginx site with Let's Encrypt HTTPS; its own PostgreSQL role can reach only its own databases. Code is deployed from the private GitHub repository through a read-only deploy key (deploy/deploy.sh).</w:t>
      </w:r>
    </w:p>
    <w:p>
      <w:pPr>
        <w:pStyle w:val="ListBullet"/>
        <w:spacing w:after="40"/>
      </w:pPr>
      <w:r>
        <w:t>Domain: registered at GoDaddy; DNS is managed in Cloudflare (DNS only). A records for inward and uat.inward point to the VPS address.</w:t>
      </w:r>
    </w:p>
    <w:p>
      <w:pPr>
        <w:pStyle w:val="ListBullet"/>
        <w:spacing w:after="40"/>
      </w:pPr>
      <w:r>
        <w:t>Environments: production on the VPS; development and testing on a separate machine and database. Real production data is never used for testing.</w:t>
      </w:r>
    </w:p>
    <w:p>
      <w:pPr>
        <w:pStyle w:val="ListBullet"/>
        <w:spacing w:after="40"/>
      </w:pPr>
      <w:r>
        <w:t>Releases: deployed from the Git repository; VPS snapshot before every release; database migrations run as part of the release; rollback = restore snapshot.</w:t>
      </w:r>
    </w:p>
    <w:p>
      <w:pPr>
        <w:pStyle w:val="ListBullet"/>
        <w:spacing w:after="40"/>
      </w:pPr>
      <w:r>
        <w:t>Depot connectivity: primary internet plus a backup connection. If the internet fails, physical unloading continues and entries are made when connectivity returns, using actual arrival and verification times.</w:t>
      </w:r>
    </w:p>
    <w:p>
      <w:pPr>
        <w:pStyle w:val="Heading1"/>
      </w:pPr>
      <w:r>
        <w:t>15. Data Normalisation and Precision</w:t>
      </w:r>
    </w:p>
    <w:tbl>
      <w:tblPr>
        <w:tblStyle w:val="TableGrid"/>
        <w:tblW w:type="auto" w:w="0"/>
        <w:jc w:val="center"/>
        <w:tblLook w:firstColumn="1" w:firstRow="1" w:lastColumn="0" w:lastRow="0" w:noHBand="0" w:noVBand="1" w:val="04A0"/>
      </w:tblPr>
      <w:tblGrid>
        <w:gridCol w:w="4706"/>
        <w:gridCol w:w="4706"/>
      </w:tblGrid>
      <w:tr>
        <w:tc>
          <w:tcPr>
            <w:tcW w:type="dxa" w:w="2041"/>
            <w:shd w:val="clear" w:color="auto" w:fill="1F3A5F"/>
          </w:tcPr>
          <w:p>
            <w:r/>
            <w:r>
              <w:rPr>
                <w:b/>
                <w:color w:val="FFFFFF"/>
                <w:sz w:val="19"/>
              </w:rPr>
              <w:t>Item</w:t>
            </w:r>
          </w:p>
        </w:tc>
        <w:tc>
          <w:tcPr>
            <w:tcW w:type="dxa" w:w="7370"/>
            <w:shd w:val="clear" w:color="auto" w:fill="1F3A5F"/>
          </w:tcPr>
          <w:p>
            <w:r/>
            <w:r>
              <w:rPr>
                <w:b/>
                <w:color w:val="FFFFFF"/>
                <w:sz w:val="19"/>
              </w:rPr>
              <w:t>Rule</w:t>
            </w:r>
          </w:p>
        </w:tc>
      </w:tr>
      <w:tr>
        <w:tc>
          <w:tcPr>
            <w:tcW w:type="dxa" w:w="2041"/>
          </w:tcPr>
          <w:p>
            <w:r/>
            <w:r>
              <w:rPr>
                <w:sz w:val="19"/>
              </w:rPr>
              <w:t>Numeric type</w:t>
            </w:r>
          </w:p>
        </w:tc>
        <w:tc>
          <w:tcPr>
            <w:tcW w:type="dxa" w:w="7370"/>
          </w:tcPr>
          <w:p>
            <w:r/>
            <w:r>
              <w:rPr>
                <w:sz w:val="19"/>
              </w:rPr>
              <w:t>Python Decimal; PostgreSQL NUMERIC; never float for quantity or money.</w:t>
            </w:r>
          </w:p>
        </w:tc>
      </w:tr>
      <w:tr>
        <w:tc>
          <w:tcPr>
            <w:tcW w:type="dxa" w:w="2041"/>
          </w:tcPr>
          <w:p>
            <w:r/>
            <w:r>
              <w:rPr>
                <w:sz w:val="19"/>
              </w:rPr>
              <w:t>Pieces</w:t>
            </w:r>
          </w:p>
        </w:tc>
        <w:tc>
          <w:tcPr>
            <w:tcW w:type="dxa" w:w="7370"/>
          </w:tcPr>
          <w:p>
            <w:r/>
            <w:r>
              <w:rPr>
                <w:sz w:val="19"/>
              </w:rPr>
              <w:t>NUMERIC(18,3); exact match.</w:t>
            </w:r>
          </w:p>
        </w:tc>
      </w:tr>
      <w:tr>
        <w:tc>
          <w:tcPr>
            <w:tcW w:type="dxa" w:w="2041"/>
          </w:tcPr>
          <w:p>
            <w:r/>
            <w:r>
              <w:rPr>
                <w:sz w:val="19"/>
              </w:rPr>
              <w:t>LTR / KG</w:t>
            </w:r>
          </w:p>
        </w:tc>
        <w:tc>
          <w:tcPr>
            <w:tcW w:type="dxa" w:w="7370"/>
          </w:tcPr>
          <w:p>
            <w:r/>
            <w:r>
              <w:rPr>
                <w:sz w:val="19"/>
              </w:rPr>
              <w:t>NUMERIC(18,6); compared after rounding to 3 decimals ROUND_HALF_UP; tolerance 0.001 per SKU (configurable, snapshotted per reconciliation run).</w:t>
            </w:r>
          </w:p>
        </w:tc>
      </w:tr>
      <w:tr>
        <w:tc>
          <w:tcPr>
            <w:tcW w:type="dxa" w:w="2041"/>
          </w:tcPr>
          <w:p>
            <w:r/>
            <w:r>
              <w:rPr>
                <w:sz w:val="19"/>
              </w:rPr>
              <w:t>Money</w:t>
            </w:r>
          </w:p>
        </w:tc>
        <w:tc>
          <w:tcPr>
            <w:tcW w:type="dxa" w:w="7370"/>
          </w:tcPr>
          <w:p>
            <w:r/>
            <w:r>
              <w:rPr>
                <w:sz w:val="19"/>
              </w:rPr>
              <w:t>NUMERIC(14,2), ROUND_HALF_UP.</w:t>
            </w:r>
          </w:p>
        </w:tc>
      </w:tr>
      <w:tr>
        <w:tc>
          <w:tcPr>
            <w:tcW w:type="dxa" w:w="2041"/>
          </w:tcPr>
          <w:p>
            <w:r/>
            <w:r>
              <w:rPr>
                <w:sz w:val="19"/>
              </w:rPr>
              <w:t>Tonnage</w:t>
            </w:r>
          </w:p>
        </w:tc>
        <w:tc>
          <w:tcPr>
            <w:tcW w:type="dxa" w:w="7370"/>
          </w:tcPr>
          <w:p>
            <w:r/>
            <w:r>
              <w:rPr>
                <w:sz w:val="19"/>
              </w:rPr>
              <w:t>NUMERIC(10,3) as entered; charge rounded to 2 decimals.</w:t>
            </w:r>
          </w:p>
        </w:tc>
      </w:tr>
      <w:tr>
        <w:tc>
          <w:tcPr>
            <w:tcW w:type="dxa" w:w="2041"/>
          </w:tcPr>
          <w:p>
            <w:r/>
            <w:r>
              <w:rPr>
                <w:sz w:val="19"/>
              </w:rPr>
              <w:t>Originals</w:t>
            </w:r>
          </w:p>
        </w:tc>
        <w:tc>
          <w:tcPr>
            <w:tcW w:type="dxa" w:w="7370"/>
          </w:tcPr>
          <w:p>
            <w:r/>
            <w:r>
              <w:rPr>
                <w:sz w:val="19"/>
              </w:rPr>
              <w:t>Raw value, source UOM and file/row reference stored beside every normalised value.</w:t>
            </w:r>
          </w:p>
        </w:tc>
      </w:tr>
      <w:tr>
        <w:tc>
          <w:tcPr>
            <w:tcW w:type="dxa" w:w="2041"/>
          </w:tcPr>
          <w:p>
            <w:r/>
            <w:r>
              <w:rPr>
                <w:sz w:val="19"/>
              </w:rPr>
              <w:t>Text</w:t>
            </w:r>
          </w:p>
        </w:tc>
        <w:tc>
          <w:tcPr>
            <w:tcW w:type="dxa" w:w="7370"/>
          </w:tcPr>
          <w:p>
            <w:r/>
            <w:r>
              <w:rPr>
                <w:sz w:val="19"/>
              </w:rPr>
              <w:t>Strip leading apostrophes ('035), non-breaking spaces, outer spaces; collapse spaces; uppercase codes; normalised search variants kept beside display values.</w:t>
            </w:r>
          </w:p>
        </w:tc>
      </w:tr>
      <w:tr>
        <w:tc>
          <w:tcPr>
            <w:tcW w:type="dxa" w:w="2041"/>
          </w:tcPr>
          <w:p>
            <w:r/>
            <w:r>
              <w:rPr>
                <w:sz w:val="19"/>
              </w:rPr>
              <w:t>Organisation</w:t>
            </w:r>
          </w:p>
        </w:tc>
        <w:tc>
          <w:tcPr>
            <w:tcW w:type="dxa" w:w="7370"/>
          </w:tcPr>
          <w:p>
            <w:r/>
            <w:r>
              <w:rPr>
                <w:sz w:val="19"/>
              </w:rPr>
              <w:t>"'279:RDC - WB-Sreerampore" -&gt; code 279 + name; code is the key.</w:t>
            </w:r>
          </w:p>
        </w:tc>
      </w:tr>
      <w:tr>
        <w:tc>
          <w:tcPr>
            <w:tcW w:type="dxa" w:w="2041"/>
          </w:tcPr>
          <w:p>
            <w:r/>
            <w:r>
              <w:rPr>
                <w:sz w:val="19"/>
              </w:rPr>
              <w:t>SKU</w:t>
            </w:r>
          </w:p>
        </w:tc>
        <w:tc>
          <w:tcPr>
            <w:tcW w:type="dxa" w:w="7370"/>
          </w:tcPr>
          <w:p>
            <w:r/>
            <w:r>
              <w:rPr>
                <w:sz w:val="19"/>
              </w:rPr>
              <w:t>Exactly 16 characters [A-Z0-9], else row rejected with reason.</w:t>
            </w:r>
          </w:p>
        </w:tc>
      </w:tr>
      <w:tr>
        <w:tc>
          <w:tcPr>
            <w:tcW w:type="dxa" w:w="2041"/>
          </w:tcPr>
          <w:p>
            <w:r/>
            <w:r>
              <w:rPr>
                <w:sz w:val="19"/>
              </w:rPr>
              <w:t>Dates</w:t>
            </w:r>
          </w:p>
        </w:tc>
        <w:tc>
          <w:tcPr>
            <w:tcW w:type="dxa" w:w="7370"/>
          </w:tcPr>
          <w:p>
            <w:r/>
            <w:r>
              <w:rPr>
                <w:sz w:val="19"/>
              </w:rPr>
              <w:t>Oracle formats (18-FEB-26, 27-JUN-2026) and Excel dates.</w:t>
            </w:r>
          </w:p>
        </w:tc>
      </w:tr>
      <w:tr>
        <w:tc>
          <w:tcPr>
            <w:tcW w:type="dxa" w:w="2041"/>
          </w:tcPr>
          <w:p>
            <w:r/>
            <w:r>
              <w:rPr>
                <w:sz w:val="19"/>
              </w:rPr>
              <w:t>Headers</w:t>
            </w:r>
          </w:p>
        </w:tc>
        <w:tc>
          <w:tcPr>
            <w:tcW w:type="dxa" w:w="7370"/>
          </w:tcPr>
          <w:p>
            <w:r/>
            <w:r>
              <w:rPr>
                <w:sz w:val="19"/>
              </w:rPr>
              <w:t>Located by normalised names; a missing required column fails the whole import atomically.</w:t>
            </w:r>
          </w:p>
        </w:tc>
      </w:tr>
    </w:tbl>
    <w:p>
      <w:pPr>
        <w:spacing w:after="40"/>
      </w:pPr>
    </w:p>
    <w:p>
      <w:pPr>
        <w:pStyle w:val="Heading1"/>
      </w:pPr>
      <w:r>
        <w:t>16. Core Data Model - Logical Entities</w:t>
      </w:r>
    </w:p>
    <w:tbl>
      <w:tblPr>
        <w:tblStyle w:val="TableGrid"/>
        <w:tblW w:type="auto" w:w="0"/>
        <w:jc w:val="center"/>
        <w:tblLook w:firstColumn="1" w:firstRow="1" w:lastColumn="0" w:lastRow="0" w:noHBand="0" w:noVBand="1" w:val="04A0"/>
      </w:tblPr>
      <w:tblGrid>
        <w:gridCol w:w="4706"/>
        <w:gridCol w:w="4706"/>
      </w:tblGrid>
      <w:tr>
        <w:tc>
          <w:tcPr>
            <w:tcW w:type="dxa" w:w="3515"/>
            <w:shd w:val="clear" w:color="auto" w:fill="1F3A5F"/>
          </w:tcPr>
          <w:p>
            <w:r/>
            <w:r>
              <w:rPr>
                <w:b/>
                <w:color w:val="FFFFFF"/>
                <w:sz w:val="19"/>
              </w:rPr>
              <w:t>Entity</w:t>
            </w:r>
          </w:p>
        </w:tc>
        <w:tc>
          <w:tcPr>
            <w:tcW w:type="dxa" w:w="5896"/>
            <w:shd w:val="clear" w:color="auto" w:fill="1F3A5F"/>
          </w:tcPr>
          <w:p>
            <w:r/>
            <w:r>
              <w:rPr>
                <w:b/>
                <w:color w:val="FFFFFF"/>
                <w:sz w:val="19"/>
              </w:rPr>
              <w:t>Purpose</w:t>
            </w:r>
          </w:p>
        </w:tc>
      </w:tr>
      <w:tr>
        <w:tc>
          <w:tcPr>
            <w:tcW w:type="dxa" w:w="3515"/>
          </w:tcPr>
          <w:p>
            <w:r/>
            <w:r>
              <w:rPr>
                <w:sz w:val="19"/>
              </w:rPr>
              <w:t>iw_consignment</w:t>
            </w:r>
          </w:p>
        </w:tc>
        <w:tc>
          <w:tcPr>
            <w:tcW w:type="dxa" w:w="5896"/>
          </w:tcPr>
          <w:p>
            <w:r/>
            <w:r>
              <w:rPr>
                <w:sz w:val="19"/>
              </w:rPr>
              <w:t>IW header, arrival, vehicle, driver, transporter, LR, load type, source, derived status, version, void data.</w:t>
            </w:r>
          </w:p>
        </w:tc>
      </w:tr>
      <w:tr>
        <w:tc>
          <w:tcPr>
            <w:tcW w:type="dxa" w:w="3515"/>
          </w:tcPr>
          <w:p>
            <w:r/>
            <w:r>
              <w:rPr>
                <w:sz w:val="19"/>
              </w:rPr>
              <w:t>iw_track</w:t>
            </w:r>
          </w:p>
        </w:tc>
        <w:tc>
          <w:tcPr>
            <w:tcW w:type="dxa" w:w="5896"/>
          </w:tcPr>
          <w:p>
            <w:r/>
            <w:r>
              <w:rPr>
                <w:sz w:val="19"/>
              </w:rPr>
              <w:t>One row per linked reference (inbound Ship, outbound Ship, vendor challan, Colour Bank, Non-Stock) with type and own status.</w:t>
            </w:r>
          </w:p>
        </w:tc>
      </w:tr>
      <w:tr>
        <w:tc>
          <w:tcPr>
            <w:tcW w:type="dxa" w:w="3515"/>
          </w:tcPr>
          <w:p>
            <w:r/>
            <w:r>
              <w:rPr>
                <w:sz w:val="19"/>
              </w:rPr>
              <w:t>iw_ship_link / ship_allocation</w:t>
            </w:r>
          </w:p>
        </w:tc>
        <w:tc>
          <w:tcPr>
            <w:tcW w:type="dxa" w:w="5896"/>
          </w:tcPr>
          <w:p>
            <w:r/>
            <w:r>
              <w:rPr>
                <w:sz w:val="19"/>
              </w:rPr>
              <w:t>Inbound Ship link, LSCRR mode/number, baseline snapshot, split-vehicle allocation.</w:t>
            </w:r>
          </w:p>
        </w:tc>
      </w:tr>
      <w:tr>
        <w:tc>
          <w:tcPr>
            <w:tcW w:type="dxa" w:w="3515"/>
          </w:tcPr>
          <w:p>
            <w:r>
              <w:t>outbound_ship / despatch_report / despatch_row</w:t>
            </w:r>
          </w:p>
        </w:tc>
        <w:tc>
          <w:tcPr>
            <w:tcW w:type="dxa" w:w="5896"/>
          </w:tcPr>
          <w:p>
            <w:r>
              <w:t>Outbound Ship document totals and row source (Despatch report / destination SIT / manual), uploaded or entered rows, the Ship each row is ticked for, and fingerprints.</w:t>
            </w:r>
          </w:p>
        </w:tc>
      </w:tr>
      <w:tr>
        <w:tc>
          <w:tcPr>
            <w:tcW w:type="dxa" w:w="3515"/>
          </w:tcPr>
          <w:p>
            <w:r/>
            <w:r>
              <w:rPr>
                <w:sz w:val="19"/>
              </w:rPr>
              <w:t>vendor_consignment</w:t>
            </w:r>
          </w:p>
        </w:tc>
        <w:tc>
          <w:tcPr>
            <w:tcW w:type="dxa" w:w="5896"/>
          </w:tcPr>
          <w:p>
            <w:r/>
            <w:r>
              <w:rPr>
                <w:sz w:val="19"/>
              </w:rPr>
              <w:t>Vendor Code, PO No, Challan No, portal/manual lines.</w:t>
            </w:r>
          </w:p>
        </w:tc>
      </w:tr>
      <w:tr>
        <w:tc>
          <w:tcPr>
            <w:tcW w:type="dxa" w:w="3515"/>
          </w:tcPr>
          <w:p>
            <w:r/>
            <w:r>
              <w:rPr>
                <w:sz w:val="19"/>
              </w:rPr>
              <w:t>colour_bank_item / non_stock_line</w:t>
            </w:r>
          </w:p>
        </w:tc>
        <w:tc>
          <w:tcPr>
            <w:tcW w:type="dxa" w:w="5896"/>
          </w:tcPr>
          <w:p>
            <w:r/>
            <w:r>
              <w:rPr>
                <w:sz w:val="19"/>
              </w:rPr>
              <w:t>Colour Bank challan, serial/asset; non-stock lines.</w:t>
            </w:r>
          </w:p>
        </w:tc>
      </w:tr>
      <w:tr>
        <w:tc>
          <w:tcPr>
            <w:tcW w:type="dxa" w:w="3515"/>
          </w:tcPr>
          <w:p>
            <w:r/>
            <w:r>
              <w:rPr>
                <w:sz w:val="19"/>
              </w:rPr>
              <w:t>sit_import_batch / sit_snapshot / sit_change_event</w:t>
            </w:r>
          </w:p>
        </w:tc>
        <w:tc>
          <w:tcPr>
            <w:tcW w:type="dxa" w:w="5896"/>
          </w:tcPr>
          <w:p>
            <w:r/>
            <w:r>
              <w:rPr>
                <w:sz w:val="19"/>
              </w:rPr>
              <w:t>Imports, per-(Ship, SKU) aggregated pending quantities, classified change events.</w:t>
            </w:r>
          </w:p>
        </w:tc>
      </w:tr>
      <w:tr>
        <w:tc>
          <w:tcPr>
            <w:tcW w:type="dxa" w:w="3515"/>
          </w:tcPr>
          <w:p>
            <w:r/>
            <w:r>
              <w:rPr>
                <w:sz w:val="19"/>
              </w:rPr>
              <w:t>iw_material_expected / iw_package_snapshot</w:t>
            </w:r>
          </w:p>
        </w:tc>
        <w:tc>
          <w:tcPr>
            <w:tcW w:type="dxa" w:w="5896"/>
          </w:tcPr>
          <w:p>
            <w:r/>
            <w:r>
              <w:rPr>
                <w:sz w:val="19"/>
              </w:rPr>
              <w:t>Expected SKU quantities/measure; package conversion snapshot.</w:t>
            </w:r>
          </w:p>
        </w:tc>
      </w:tr>
      <w:tr>
        <w:tc>
          <w:tcPr>
            <w:tcW w:type="dxa" w:w="3515"/>
          </w:tcPr>
          <w:p>
            <w:r/>
            <w:r>
              <w:rPr>
                <w:sz w:val="19"/>
              </w:rPr>
              <w:t>physical_receipt / sed_detail</w:t>
            </w:r>
          </w:p>
        </w:tc>
        <w:tc>
          <w:tcPr>
            <w:tcW w:type="dxa" w:w="5896"/>
          </w:tcPr>
          <w:p>
            <w:r/>
            <w:r>
              <w:rPr>
                <w:sz w:val="19"/>
              </w:rPr>
              <w:t>Physical verification and SKU-level SED with financials and photo links.</w:t>
            </w:r>
          </w:p>
        </w:tc>
      </w:tr>
      <w:tr>
        <w:tc>
          <w:tcPr>
            <w:tcW w:type="dxa" w:w="3515"/>
          </w:tcPr>
          <w:p>
            <w:r/>
            <w:r>
              <w:rPr>
                <w:sz w:val="19"/>
              </w:rPr>
              <w:t>sed_memo / sed_memo_trx</w:t>
            </w:r>
          </w:p>
        </w:tc>
        <w:tc>
          <w:tcPr>
            <w:tcW w:type="dxa" w:w="5896"/>
          </w:tcPr>
          <w:p>
            <w:r/>
            <w:r>
              <w:rPr>
                <w:sz w:val="19"/>
              </w:rPr>
              <w:t>Memos, LSCRR-covered flag, one-or-many TRX numbers.</w:t>
            </w:r>
          </w:p>
        </w:tc>
      </w:tr>
      <w:tr>
        <w:tc>
          <w:tcPr>
            <w:tcW w:type="dxa" w:w="3515"/>
          </w:tcPr>
          <w:p>
            <w:r>
              <w:t>sed_approval / sed_approval_evidence</w:t>
            </w:r>
          </w:p>
        </w:tc>
        <w:tc>
          <w:tcPr>
            <w:tcW w:type="dxa" w:w="5896"/>
          </w:tcPr>
          <w:p>
            <w:r>
              <w:t>Approval request per SED revision, status, reminders, stored reply or manual evidence.</w:t>
            </w:r>
          </w:p>
        </w:tc>
      </w:tr>
      <w:tr>
        <w:tc>
          <w:tcPr>
            <w:tcW w:type="dxa" w:w="3515"/>
          </w:tcPr>
          <w:p>
            <w:r/>
            <w:r>
              <w:rPr>
                <w:sz w:val="19"/>
              </w:rPr>
              <w:t>unloading_charge / transporter_ledger</w:t>
            </w:r>
          </w:p>
        </w:tc>
        <w:tc>
          <w:tcPr>
            <w:tcW w:type="dxa" w:w="5896"/>
          </w:tcPr>
          <w:p>
            <w:r/>
            <w:r>
              <w:rPr>
                <w:sz w:val="19"/>
              </w:rPr>
              <w:t>Charge snapshot, payment, outstanding, settlement.</w:t>
            </w:r>
          </w:p>
        </w:tc>
      </w:tr>
      <w:tr>
        <w:tc>
          <w:tcPr>
            <w:tcW w:type="dxa" w:w="3515"/>
          </w:tcPr>
          <w:p>
            <w:r/>
            <w:r>
              <w:rPr>
                <w:sz w:val="19"/>
              </w:rPr>
              <w:t>mra / mra_revision</w:t>
            </w:r>
          </w:p>
        </w:tc>
        <w:tc>
          <w:tcPr>
            <w:tcW w:type="dxa" w:w="5896"/>
          </w:tcPr>
          <w:p>
            <w:r/>
            <w:r>
              <w:rPr>
                <w:sz w:val="19"/>
              </w:rPr>
              <w:t>MRA revisions and completion state.</w:t>
            </w:r>
          </w:p>
        </w:tc>
      </w:tr>
      <w:tr>
        <w:tc>
          <w:tcPr>
            <w:tcW w:type="dxa" w:w="3515"/>
          </w:tcPr>
          <w:p>
            <w:r/>
            <w:r>
              <w:rPr>
                <w:sz w:val="19"/>
              </w:rPr>
              <w:t>communication / communication_recipient / mail_attempt</w:t>
            </w:r>
          </w:p>
        </w:tc>
        <w:tc>
          <w:tcPr>
            <w:tcW w:type="dxa" w:w="5896"/>
          </w:tcPr>
          <w:p>
            <w:r/>
            <w:r>
              <w:rPr>
                <w:sz w:val="19"/>
              </w:rPr>
              <w:t>Queue, attempts, stamp, SENT evidence.</w:t>
            </w:r>
          </w:p>
        </w:tc>
      </w:tr>
      <w:tr>
        <w:tc>
          <w:tcPr>
            <w:tcW w:type="dxa" w:w="3515"/>
          </w:tcPr>
          <w:p>
            <w:r/>
            <w:r>
              <w:rPr>
                <w:sz w:val="19"/>
              </w:rPr>
              <w:t>erp_receipt</w:t>
            </w:r>
          </w:p>
        </w:tc>
        <w:tc>
          <w:tcPr>
            <w:tcW w:type="dxa" w:w="5896"/>
          </w:tcPr>
          <w:p>
            <w:r/>
            <w:r>
              <w:rPr>
                <w:sz w:val="19"/>
              </w:rPr>
              <w:t>Normal / Excess / PO receipts per track.</w:t>
            </w:r>
          </w:p>
        </w:tc>
      </w:tr>
      <w:tr>
        <w:tc>
          <w:tcPr>
            <w:tcW w:type="dxa" w:w="3515"/>
          </w:tcPr>
          <w:p>
            <w:r/>
            <w:r>
              <w:rPr>
                <w:sz w:val="19"/>
              </w:rPr>
              <w:t>irr_import_batch / irr_raw_row / irr_trx_group / irr_transaction</w:t>
            </w:r>
          </w:p>
        </w:tc>
        <w:tc>
          <w:tcPr>
            <w:tcW w:type="dxa" w:w="5896"/>
          </w:tcPr>
          <w:p>
            <w:r/>
            <w:r>
              <w:rPr>
                <w:sz w:val="19"/>
              </w:rPr>
              <w:t>Immutable imports; multiset TRX groups; normalised transactions.</w:t>
            </w:r>
          </w:p>
        </w:tc>
      </w:tr>
      <w:tr>
        <w:tc>
          <w:tcPr>
            <w:tcW w:type="dxa" w:w="3515"/>
          </w:tcPr>
          <w:p>
            <w:r/>
            <w:r>
              <w:rPr>
                <w:sz w:val="19"/>
              </w:rPr>
              <w:t>reconciliation_run / reconciliation_detail</w:t>
            </w:r>
          </w:p>
        </w:tc>
        <w:tc>
          <w:tcPr>
            <w:tcW w:type="dxa" w:w="5896"/>
          </w:tcPr>
          <w:p>
            <w:r/>
            <w:r>
              <w:rPr>
                <w:sz w:val="19"/>
              </w:rPr>
              <w:t>Rerunnable versioned results at receipt/SED/SKU level with tolerance snapshot.</w:t>
            </w:r>
          </w:p>
        </w:tc>
      </w:tr>
      <w:tr>
        <w:tc>
          <w:tcPr>
            <w:tcW w:type="dxa" w:w="3515"/>
          </w:tcPr>
          <w:p>
            <w:r/>
            <w:r>
              <w:rPr>
                <w:sz w:val="19"/>
              </w:rPr>
              <w:t>document / document_link</w:t>
            </w:r>
          </w:p>
        </w:tc>
        <w:tc>
          <w:tcPr>
            <w:tcW w:type="dxa" w:w="5896"/>
          </w:tcPr>
          <w:p>
            <w:r/>
            <w:r>
              <w:rPr>
                <w:sz w:val="19"/>
              </w:rPr>
              <w:t>Metadata, hash, storage reference, revision, IW linkage.</w:t>
            </w:r>
          </w:p>
        </w:tc>
      </w:tr>
      <w:tr>
        <w:tc>
          <w:tcPr>
            <w:tcW w:type="dxa" w:w="3515"/>
          </w:tcPr>
          <w:p>
            <w:r/>
            <w:r>
              <w:rPr>
                <w:sz w:val="19"/>
              </w:rPr>
              <w:t>organisation / organisation_email / transporter / vendor / sku_packaging / package_type / non_stock_item / rate_master / notification_master / feature_flag</w:t>
            </w:r>
          </w:p>
        </w:tc>
        <w:tc>
          <w:tcPr>
            <w:tcW w:type="dxa" w:w="5896"/>
          </w:tcPr>
          <w:p>
            <w:r/>
            <w:r>
              <w:rPr>
                <w:sz w:val="19"/>
              </w:rPr>
              <w:t>Masters and configuration.</w:t>
            </w:r>
          </w:p>
        </w:tc>
      </w:tr>
      <w:tr>
        <w:tc>
          <w:tcPr>
            <w:tcW w:type="dxa" w:w="3515"/>
          </w:tcPr>
          <w:p>
            <w:r/>
            <w:r>
              <w:rPr>
                <w:sz w:val="19"/>
              </w:rPr>
              <w:t>app_user / role / permission / role_permission / user_role / approval_request</w:t>
            </w:r>
          </w:p>
        </w:tc>
        <w:tc>
          <w:tcPr>
            <w:tcW w:type="dxa" w:w="5896"/>
          </w:tcPr>
          <w:p>
            <w:r>
              <w:t>Django authentication users, roles (groups) and permissions, two-factor devices and recovery codes, maker-checker approval requests.</w:t>
            </w:r>
          </w:p>
        </w:tc>
      </w:tr>
      <w:tr>
        <w:tc>
          <w:tcPr>
            <w:tcW w:type="dxa" w:w="3515"/>
          </w:tcPr>
          <w:p>
            <w:r/>
            <w:r>
              <w:rPr>
                <w:sz w:val="19"/>
              </w:rPr>
              <w:t>audit_event / exception_event / report_run</w:t>
            </w:r>
          </w:p>
        </w:tc>
        <w:tc>
          <w:tcPr>
            <w:tcW w:type="dxa" w:w="5896"/>
          </w:tcPr>
          <w:p>
            <w:r/>
            <w:r>
              <w:rPr>
                <w:sz w:val="19"/>
              </w:rPr>
              <w:t>Append-only history, exception lifecycle, report history.</w:t>
            </w:r>
          </w:p>
        </w:tc>
      </w:tr>
    </w:tbl>
    <w:p>
      <w:pPr>
        <w:spacing w:after="40"/>
      </w:pPr>
    </w:p>
    <w:p>
      <w:pPr>
        <w:pStyle w:val="Heading1"/>
      </w:pPr>
      <w:r>
        <w:t>17. Search Index Requirements</w:t>
      </w:r>
    </w:p>
    <w:p>
      <w:pPr>
        <w:pStyle w:val="ListBullet"/>
        <w:spacing w:after="40"/>
      </w:pPr>
      <w:r>
        <w:t>Unique: IW No, MRA No + revision, internal document IDs, import batch IDs, (Vendor Code + Challan No).</w:t>
      </w:r>
    </w:p>
    <w:p>
      <w:pPr>
        <w:pStyle w:val="ListBullet"/>
        <w:spacing w:after="40"/>
      </w:pPr>
      <w:r>
        <w:t>Indexed exact + normalised: Ship ID, Vendor Code, PO No, Vendor/Colour Bank/Non-Stock Challan, LR No, Vehicle No, Stock/PO/Excess Receipt No, SED TRX No, LSCRR No, full SKU, Floor SKU.</w:t>
      </w:r>
    </w:p>
    <w:p>
      <w:pPr>
        <w:pStyle w:val="ListBullet"/>
        <w:spacing w:after="40"/>
      </w:pPr>
      <w:r>
        <w:t>Indexed foreign keys, status and date fields used by dashboards and aging queries.</w:t>
      </w:r>
    </w:p>
    <w:p>
      <w:pPr>
        <w:pStyle w:val="Heading1"/>
      </w:pPr>
      <w:r>
        <w:t>18. State Model</w:t>
      </w:r>
    </w:p>
    <w:p>
      <w:pPr>
        <w:pStyle w:val="Heading2"/>
      </w:pPr>
      <w:r>
        <w:t>18.1 Track lifecycles</w:t>
      </w:r>
    </w:p>
    <w:tbl>
      <w:tblPr>
        <w:tblStyle w:val="TableGrid"/>
        <w:tblW w:type="auto" w:w="0"/>
        <w:jc w:val="center"/>
        <w:tblLook w:firstColumn="1" w:firstRow="1" w:lastColumn="0" w:lastRow="0" w:noHBand="0" w:noVBand="1" w:val="04A0"/>
      </w:tblPr>
      <w:tblGrid>
        <w:gridCol w:w="4706"/>
        <w:gridCol w:w="4706"/>
      </w:tblGrid>
      <w:tr>
        <w:tc>
          <w:tcPr>
            <w:tcW w:type="dxa" w:w="2154"/>
            <w:shd w:val="clear" w:color="auto" w:fill="1F3A5F"/>
          </w:tcPr>
          <w:p>
            <w:r/>
            <w:r>
              <w:rPr>
                <w:b/>
                <w:color w:val="FFFFFF"/>
                <w:sz w:val="19"/>
              </w:rPr>
              <w:t>Track type</w:t>
            </w:r>
          </w:p>
        </w:tc>
        <w:tc>
          <w:tcPr>
            <w:tcW w:type="dxa" w:w="7257"/>
            <w:shd w:val="clear" w:color="auto" w:fill="1F3A5F"/>
          </w:tcPr>
          <w:p>
            <w:r/>
            <w:r>
              <w:rPr>
                <w:b/>
                <w:color w:val="FFFFFF"/>
                <w:sz w:val="19"/>
              </w:rPr>
              <w:t>Lifecycle</w:t>
            </w:r>
          </w:p>
        </w:tc>
      </w:tr>
      <w:tr>
        <w:tc>
          <w:tcPr>
            <w:tcW w:type="dxa" w:w="2154"/>
          </w:tcPr>
          <w:p>
            <w:r/>
            <w:r>
              <w:rPr>
                <w:sz w:val="19"/>
              </w:rPr>
              <w:t>Inbound Ship (SIT)</w:t>
            </w:r>
          </w:p>
        </w:tc>
        <w:tc>
          <w:tcPr>
            <w:tcW w:type="dxa" w:w="7257"/>
          </w:tcPr>
          <w:p>
            <w:r/>
            <w:r>
              <w:rPr>
                <w:sz w:val="19"/>
              </w:rPr>
              <w:t>LINKED -&gt; VERIFIED -&gt; MRA_DONE -&gt; ERP_RECEIPT_ENTERED -&gt; IRR_PARTIAL | IRR_REVIEW | IRR_NOT_FOUND -&gt; RECONCILED</w:t>
            </w:r>
          </w:p>
        </w:tc>
      </w:tr>
      <w:tr>
        <w:tc>
          <w:tcPr>
            <w:tcW w:type="dxa" w:w="2154"/>
          </w:tcPr>
          <w:p>
            <w:r/>
            <w:r>
              <w:rPr>
                <w:sz w:val="19"/>
              </w:rPr>
              <w:t>Vendor Challan</w:t>
            </w:r>
          </w:p>
        </w:tc>
        <w:tc>
          <w:tcPr>
            <w:tcW w:type="dxa" w:w="7257"/>
          </w:tcPr>
          <w:p>
            <w:r/>
            <w:r>
              <w:rPr>
                <w:sz w:val="19"/>
              </w:rPr>
              <w:t>LINKED -&gt; VERIFIED -&gt; MRA_DONE -&gt; PO_RECEIPT_ENTERED -&gt; IRR_PARTIAL | IRR_REVIEW | IRR_NOT_FOUND -&gt; RECONCILED</w:t>
            </w:r>
          </w:p>
        </w:tc>
      </w:tr>
      <w:tr>
        <w:tc>
          <w:tcPr>
            <w:tcW w:type="dxa" w:w="2154"/>
          </w:tcPr>
          <w:p>
            <w:r/>
            <w:r>
              <w:rPr>
                <w:sz w:val="19"/>
              </w:rPr>
              <w:t>Outbound Ship</w:t>
            </w:r>
          </w:p>
        </w:tc>
        <w:tc>
          <w:tcPr>
            <w:tcW w:type="dxa" w:w="7257"/>
          </w:tcPr>
          <w:p>
            <w:r/>
            <w:r>
              <w:rPr>
                <w:sz w:val="19"/>
              </w:rPr>
              <w:t>LINKED -&gt; ROWS_ASSIGNED -&gt; VERIFIED -&gt; MRA_DONE (terminal)</w:t>
            </w:r>
          </w:p>
        </w:tc>
      </w:tr>
      <w:tr>
        <w:tc>
          <w:tcPr>
            <w:tcW w:type="dxa" w:w="2154"/>
          </w:tcPr>
          <w:p>
            <w:r/>
            <w:r>
              <w:rPr>
                <w:sz w:val="19"/>
              </w:rPr>
              <w:t>Colour Bank</w:t>
            </w:r>
          </w:p>
        </w:tc>
        <w:tc>
          <w:tcPr>
            <w:tcW w:type="dxa" w:w="7257"/>
          </w:tcPr>
          <w:p>
            <w:r/>
            <w:r>
              <w:rPr>
                <w:sz w:val="19"/>
              </w:rPr>
              <w:t>LINKED -&gt; VERIFIED -&gt; MRA_DONE (terminal while ERP-tracked flag is OFF)</w:t>
            </w:r>
          </w:p>
        </w:tc>
      </w:tr>
      <w:tr>
        <w:tc>
          <w:tcPr>
            <w:tcW w:type="dxa" w:w="2154"/>
          </w:tcPr>
          <w:p>
            <w:r/>
            <w:r>
              <w:rPr>
                <w:sz w:val="19"/>
              </w:rPr>
              <w:t>Non-Stock</w:t>
            </w:r>
          </w:p>
        </w:tc>
        <w:tc>
          <w:tcPr>
            <w:tcW w:type="dxa" w:w="7257"/>
          </w:tcPr>
          <w:p>
            <w:r/>
            <w:r>
              <w:rPr>
                <w:sz w:val="19"/>
              </w:rPr>
              <w:t>LINKED -&gt; VERIFIED -&gt; MRA_DONE (terminal)</w:t>
            </w:r>
          </w:p>
        </w:tc>
      </w:tr>
      <w:tr>
        <w:tc>
          <w:tcPr>
            <w:tcW w:type="dxa" w:w="2154"/>
          </w:tcPr>
          <w:p>
            <w:r/>
            <w:r>
              <w:rPr>
                <w:sz w:val="19"/>
              </w:rPr>
              <w:t>SED memo</w:t>
            </w:r>
          </w:p>
        </w:tc>
        <w:tc>
          <w:tcPr>
            <w:tcW w:type="dxa" w:w="7257"/>
          </w:tcPr>
          <w:p>
            <w:r/>
            <w:r>
              <w:rPr>
                <w:sz w:val="19"/>
              </w:rPr>
              <w:t>MEMO_ISSUED -&gt; TRX_ENTERED | LSCRR_COVERED -&gt; RECONCILED | REVIEW</w:t>
            </w:r>
          </w:p>
        </w:tc>
      </w:tr>
      <w:tr>
        <w:tc>
          <w:tcPr>
            <w:tcW w:type="dxa" w:w="2154"/>
          </w:tcPr>
          <w:p>
            <w:r>
              <w:t>SED approval</w:t>
            </w:r>
          </w:p>
        </w:tc>
        <w:tc>
          <w:tcPr>
            <w:tcW w:type="dxa" w:w="7257"/>
          </w:tcPr>
          <w:p>
            <w:r>
              <w:t>REQUESTED -&gt; APPROVED | REJECTED (-&gt; corrected, new request R02) ; MANUAL_EVIDENCE -&gt; ACCEPTED (independent of IW closure)</w:t>
            </w:r>
          </w:p>
        </w:tc>
      </w:tr>
      <w:tr>
        <w:tc>
          <w:tcPr>
            <w:tcW w:type="dxa" w:w="2154"/>
          </w:tcPr>
          <w:p>
            <w:r/>
            <w:r>
              <w:rPr>
                <w:sz w:val="19"/>
              </w:rPr>
              <w:t>Unloading finance</w:t>
            </w:r>
          </w:p>
        </w:tc>
        <w:tc>
          <w:tcPr>
            <w:tcW w:type="dxa" w:w="7257"/>
          </w:tcPr>
          <w:p>
            <w:r/>
            <w:r>
              <w:rPr>
                <w:sz w:val="19"/>
              </w:rPr>
              <w:t>RECORDED -&gt; PAID | PART_PAID | OUTSTANDING_LEDGER | EXEMPT -&gt; SETTLED (independent)</w:t>
            </w:r>
          </w:p>
        </w:tc>
      </w:tr>
    </w:tbl>
    <w:p>
      <w:pPr>
        <w:spacing w:after="40"/>
      </w:pPr>
    </w:p>
    <w:p>
      <w:pPr>
        <w:pStyle w:val="Heading2"/>
      </w:pPr>
      <w:r>
        <w:t>18.2 IW lifecycle (derived from tracks)</w:t>
      </w:r>
    </w:p>
    <w:p>
      <w:pPr>
        <w:spacing w:after="80"/>
      </w:pPr>
      <w:r>
        <w:rPr>
          <w:i w:val="0"/>
        </w:rPr>
        <w:t>DRAFT -&gt; OPEN (number issued) -&gt; MATERIAL_LINKED -&gt; UNLOADING_IN_PROGRESS -&gt; PHYSICALLY_VERIFIED -&gt; MRA_ISSUED (all Screen 04 gates passed or Mail-Pending Release) -&gt; ERP_IN_PROGRESS -&gt; RECON_COMPLETE -&gt; DOCUMENTS_COMPLETE -&gt; CLOSED</w:t>
      </w:r>
    </w:p>
    <w:p>
      <w:pPr>
        <w:pStyle w:val="ListBullet"/>
        <w:spacing w:after="40"/>
      </w:pPr>
      <w:r>
        <w:t>VOID: only before MRA_ISSUED; reason + CFA Manager approval.</w:t>
      </w:r>
    </w:p>
    <w:p>
      <w:pPr>
        <w:pStyle w:val="ListBullet"/>
        <w:spacing w:after="40"/>
      </w:pPr>
      <w:r>
        <w:t>Reopen: CLOSED -&gt; REOPENED_ACTION_REQUIRED -&gt; affected track stage -&gt; revalidated closure -&gt; CLOSED (new closure snapshot).</w:t>
      </w:r>
    </w:p>
    <w:p>
      <w:pPr>
        <w:pStyle w:val="Heading1"/>
      </w:pPr>
      <w:r>
        <w:t>19. Critical Acceptance Tests</w:t>
      </w:r>
    </w:p>
    <w:tbl>
      <w:tblPr>
        <w:tblStyle w:val="TableGrid"/>
        <w:tblW w:type="auto" w:w="0"/>
        <w:jc w:val="center"/>
        <w:tblLook w:firstColumn="1" w:firstRow="1" w:lastColumn="0" w:lastRow="0" w:noHBand="0" w:noVBand="1" w:val="04A0"/>
      </w:tblPr>
      <w:tblGrid>
        <w:gridCol w:w="4706"/>
        <w:gridCol w:w="4706"/>
      </w:tblGrid>
      <w:tr>
        <w:tc>
          <w:tcPr>
            <w:tcW w:type="dxa" w:w="680"/>
            <w:shd w:val="clear" w:color="auto" w:fill="1F3A5F"/>
          </w:tcPr>
          <w:p>
            <w:r/>
            <w:r>
              <w:rPr>
                <w:b/>
                <w:color w:val="FFFFFF"/>
                <w:sz w:val="19"/>
              </w:rPr>
              <w:t>#</w:t>
            </w:r>
          </w:p>
        </w:tc>
        <w:tc>
          <w:tcPr>
            <w:tcW w:type="dxa" w:w="8731"/>
            <w:shd w:val="clear" w:color="auto" w:fill="1F3A5F"/>
          </w:tcPr>
          <w:p>
            <w:r/>
            <w:r>
              <w:rPr>
                <w:b/>
                <w:color w:val="FFFFFF"/>
                <w:sz w:val="19"/>
              </w:rPr>
              <w:t>Acceptance Test</w:t>
            </w:r>
          </w:p>
        </w:tc>
      </w:tr>
      <w:tr>
        <w:tc>
          <w:tcPr>
            <w:tcW w:type="dxa" w:w="680"/>
          </w:tcPr>
          <w:p>
            <w:r/>
            <w:r>
              <w:rPr>
                <w:sz w:val="19"/>
              </w:rPr>
              <w:t>1</w:t>
            </w:r>
          </w:p>
        </w:tc>
        <w:tc>
          <w:tcPr>
            <w:tcW w:type="dxa" w:w="8731"/>
          </w:tcPr>
          <w:p>
            <w:r>
              <w:t>SIT Gmail (IMAP) fetch at start-up and on schedule; re-fetch of the same mail/file reports Already Imported.</w:t>
            </w:r>
          </w:p>
        </w:tc>
      </w:tr>
      <w:tr>
        <w:tc>
          <w:tcPr>
            <w:tcW w:type="dxa" w:w="680"/>
          </w:tcPr>
          <w:p>
            <w:r/>
            <w:r>
              <w:rPr>
                <w:sz w:val="19"/>
              </w:rPr>
              <w:t>2</w:t>
            </w:r>
          </w:p>
        </w:tc>
        <w:tc>
          <w:tcPr>
            <w:tcW w:type="dxa" w:w="8731"/>
          </w:tcPr>
          <w:p>
            <w:r/>
            <w:r>
              <w:rPr>
                <w:sz w:val="19"/>
              </w:rPr>
              <w:t>Manual SIT .xls and .xlsx imports.</w:t>
            </w:r>
          </w:p>
        </w:tc>
      </w:tr>
      <w:tr>
        <w:tc>
          <w:tcPr>
            <w:tcW w:type="dxa" w:w="680"/>
          </w:tcPr>
          <w:p>
            <w:r/>
            <w:r>
              <w:rPr>
                <w:sz w:val="19"/>
              </w:rPr>
              <w:t>3</w:t>
            </w:r>
          </w:p>
        </w:tc>
        <w:tc>
          <w:tcPr>
            <w:tcW w:type="dxa" w:w="8731"/>
          </w:tcPr>
          <w:p>
            <w:r/>
            <w:r>
              <w:rPr>
                <w:sz w:val="19"/>
              </w:rPr>
              <w:t>SIT partial reduction creates a partial-processing event and stays escalated.</w:t>
            </w:r>
          </w:p>
        </w:tc>
      </w:tr>
      <w:tr>
        <w:tc>
          <w:tcPr>
            <w:tcW w:type="dxa" w:w="680"/>
          </w:tcPr>
          <w:p>
            <w:r/>
            <w:r>
              <w:rPr>
                <w:sz w:val="19"/>
              </w:rPr>
              <w:t>4</w:t>
            </w:r>
          </w:p>
        </w:tc>
        <w:tc>
          <w:tcPr>
            <w:tcW w:type="dxa" w:w="8731"/>
          </w:tcPr>
          <w:p>
            <w:r/>
            <w:r>
              <w:rPr>
                <w:sz w:val="19"/>
              </w:rPr>
              <w:t>SIT change detection classifies NEW, REDUCED, SKU_REMOVED, SHIP_REMOVED (three sub-cases), QTY_INCREASED, and respects the report window.</w:t>
            </w:r>
          </w:p>
        </w:tc>
      </w:tr>
      <w:tr>
        <w:tc>
          <w:tcPr>
            <w:tcW w:type="dxa" w:w="680"/>
          </w:tcPr>
          <w:p>
            <w:r/>
            <w:r>
              <w:rPr>
                <w:sz w:val="19"/>
              </w:rPr>
              <w:t>5</w:t>
            </w:r>
          </w:p>
        </w:tc>
        <w:tc>
          <w:tcPr>
            <w:tcW w:type="dxa" w:w="8731"/>
          </w:tcPr>
          <w:p>
            <w:r/>
            <w:r>
              <w:rPr>
                <w:sz w:val="19"/>
              </w:rPr>
              <w:t>ML/G rows use the fractional Volume directly (0.5 x 96 = 48 LTR); ML/G row with Volume &gt;= 1 raises a data exception.</w:t>
            </w:r>
          </w:p>
        </w:tc>
      </w:tr>
      <w:tr>
        <w:tc>
          <w:tcPr>
            <w:tcW w:type="dxa" w:w="680"/>
          </w:tcPr>
          <w:p>
            <w:r/>
            <w:r>
              <w:rPr>
                <w:sz w:val="19"/>
              </w:rPr>
              <w:t>6</w:t>
            </w:r>
          </w:p>
        </w:tc>
        <w:tc>
          <w:tcPr>
            <w:tcW w:type="dxa" w:w="8731"/>
          </w:tcPr>
          <w:p>
            <w:r/>
            <w:r>
              <w:rPr>
                <w:sz w:val="19"/>
              </w:rPr>
              <w:t>Blank UOM + BULKPC appears in the separate empty-packing section; blank UOM without BULKPC blocks linking.</w:t>
            </w:r>
          </w:p>
        </w:tc>
      </w:tr>
      <w:tr>
        <w:tc>
          <w:tcPr>
            <w:tcW w:type="dxa" w:w="680"/>
          </w:tcPr>
          <w:p>
            <w:r/>
            <w:r>
              <w:rPr>
                <w:sz w:val="19"/>
              </w:rPr>
              <w:t>7</w:t>
            </w:r>
          </w:p>
        </w:tc>
        <w:tc>
          <w:tcPr>
            <w:tcW w:type="dxa" w:w="8731"/>
          </w:tcPr>
          <w:p>
            <w:r/>
            <w:r>
              <w:rPr>
                <w:sz w:val="19"/>
              </w:rPr>
              <w:t>Split vehicle: linking an already-linked Ship is blocked unless the clerk chooses Split vehicle; allocations cannot exceed the SIT baseline; each IW's SED uses its own allocation.</w:t>
            </w:r>
          </w:p>
        </w:tc>
      </w:tr>
      <w:tr>
        <w:tc>
          <w:tcPr>
            <w:tcW w:type="dxa" w:w="680"/>
          </w:tcPr>
          <w:p>
            <w:r/>
            <w:r>
              <w:rPr>
                <w:sz w:val="19"/>
              </w:rPr>
              <w:t>8</w:t>
            </w:r>
          </w:p>
        </w:tc>
        <w:tc>
          <w:tcPr>
            <w:tcW w:type="dxa" w:w="8731"/>
          </w:tcPr>
          <w:p>
            <w:r/>
            <w:r>
              <w:rPr>
                <w:sz w:val="19"/>
              </w:rPr>
              <w:t>Package conversion: 30 x 1 L at 6/carton -&gt; 5 cartons; 33 -&gt; 5 cartons + 3 loose.</w:t>
            </w:r>
          </w:p>
        </w:tc>
      </w:tr>
      <w:tr>
        <w:tc>
          <w:tcPr>
            <w:tcW w:type="dxa" w:w="680"/>
          </w:tcPr>
          <w:p>
            <w:r/>
            <w:r>
              <w:rPr>
                <w:sz w:val="19"/>
              </w:rPr>
              <w:t>9</w:t>
            </w:r>
          </w:p>
        </w:tc>
        <w:tc>
          <w:tcPr>
            <w:tcW w:type="dxa" w:w="8731"/>
          </w:tcPr>
          <w:p>
            <w:r/>
            <w:r>
              <w:rPr>
                <w:sz w:val="19"/>
              </w:rPr>
              <w:t>Floor SKU: F007130991001000 -&gt; 713 991; full SKU remains the reconciliation key.</w:t>
            </w:r>
          </w:p>
        </w:tc>
      </w:tr>
      <w:tr>
        <w:tc>
          <w:tcPr>
            <w:tcW w:type="dxa" w:w="680"/>
          </w:tcPr>
          <w:p>
            <w:r/>
            <w:r>
              <w:rPr>
                <w:sz w:val="19"/>
              </w:rPr>
              <w:t>10</w:t>
            </w:r>
          </w:p>
        </w:tc>
        <w:tc>
          <w:tcPr>
            <w:tcW w:type="dxa" w:w="8731"/>
          </w:tcPr>
          <w:p>
            <w:r/>
            <w:r>
              <w:rPr>
                <w:sz w:val="19"/>
              </w:rPr>
              <w:t>Outbound: every report row assigned or excluded; Ship control totals must balance; wrong-destination assignment rejected; re-use of an identical row requires acknowledgement.</w:t>
            </w:r>
          </w:p>
        </w:tc>
      </w:tr>
      <w:tr>
        <w:tc>
          <w:tcPr>
            <w:tcW w:type="dxa" w:w="680"/>
          </w:tcPr>
          <w:p>
            <w:r/>
            <w:r>
              <w:rPr>
                <w:sz w:val="19"/>
              </w:rPr>
              <w:t>11</w:t>
            </w:r>
          </w:p>
        </w:tc>
        <w:tc>
          <w:tcPr>
            <w:tcW w:type="dxa" w:w="8731"/>
          </w:tcPr>
          <w:p>
            <w:r/>
            <w:r>
              <w:rPr>
                <w:sz w:val="19"/>
              </w:rPr>
              <w:t>Vendor: duplicate Vendor Code + Challan blocked; IRR match only via PO Stock Receipt No; challan-text difference is a warning.</w:t>
            </w:r>
          </w:p>
        </w:tc>
      </w:tr>
      <w:tr>
        <w:tc>
          <w:tcPr>
            <w:tcW w:type="dxa" w:w="680"/>
          </w:tcPr>
          <w:p>
            <w:r/>
            <w:r>
              <w:rPr>
                <w:sz w:val="19"/>
              </w:rPr>
              <w:t>12</w:t>
            </w:r>
          </w:p>
        </w:tc>
        <w:tc>
          <w:tcPr>
            <w:tcW w:type="dxa" w:w="8731"/>
          </w:tcPr>
          <w:p>
            <w:r/>
            <w:r>
              <w:rPr>
                <w:sz w:val="19"/>
              </w:rPr>
              <w:t>Damage cannot advance without photo and damage remark.</w:t>
            </w:r>
          </w:p>
        </w:tc>
      </w:tr>
      <w:tr>
        <w:tc>
          <w:tcPr>
            <w:tcW w:type="dxa" w:w="680"/>
          </w:tcPr>
          <w:p>
            <w:r/>
            <w:r>
              <w:rPr>
                <w:sz w:val="19"/>
              </w:rPr>
              <w:t>13</w:t>
            </w:r>
          </w:p>
        </w:tc>
        <w:tc>
          <w:tcPr>
            <w:tcW w:type="dxa" w:w="8731"/>
          </w:tcPr>
          <w:p>
            <w:r/>
            <w:r>
              <w:rPr>
                <w:sz w:val="19"/>
              </w:rPr>
              <w:t>Unloading cannot advance without amount + settlement/ledger position.</w:t>
            </w:r>
          </w:p>
        </w:tc>
      </w:tr>
      <w:tr>
        <w:tc>
          <w:tcPr>
            <w:tcW w:type="dxa" w:w="680"/>
          </w:tcPr>
          <w:p>
            <w:r/>
            <w:r>
              <w:rPr>
                <w:sz w:val="19"/>
              </w:rPr>
              <w:t>14</w:t>
            </w:r>
          </w:p>
        </w:tc>
        <w:tc>
          <w:tcPr>
            <w:tcW w:type="dxa" w:w="8731"/>
          </w:tcPr>
          <w:p>
            <w:r>
              <w:t>Mail stays QUEUED until the stamped message is found in Gmail Sent Mail; retry never sends a duplicate.</w:t>
            </w:r>
          </w:p>
        </w:tc>
      </w:tr>
      <w:tr>
        <w:tc>
          <w:tcPr>
            <w:tcW w:type="dxa" w:w="680"/>
          </w:tcPr>
          <w:p>
            <w:r/>
            <w:r>
              <w:rPr>
                <w:sz w:val="19"/>
              </w:rPr>
              <w:t>15</w:t>
            </w:r>
          </w:p>
        </w:tc>
        <w:tc>
          <w:tcPr>
            <w:tcW w:type="dxa" w:w="8731"/>
          </w:tcPr>
          <w:p>
            <w:r/>
            <w:r>
              <w:rPr>
                <w:sz w:val="19"/>
              </w:rPr>
              <w:t>MRA cannot complete without SENT MRA e-mail; SED IW cannot complete Screen 04 without SENT internal notification to all three authorities.</w:t>
            </w:r>
          </w:p>
        </w:tc>
      </w:tr>
      <w:tr>
        <w:tc>
          <w:tcPr>
            <w:tcW w:type="dxa" w:w="680"/>
          </w:tcPr>
          <w:p>
            <w:r/>
            <w:r>
              <w:rPr>
                <w:sz w:val="19"/>
              </w:rPr>
              <w:t>16</w:t>
            </w:r>
          </w:p>
        </w:tc>
        <w:tc>
          <w:tcPr>
            <w:tcW w:type="dxa" w:w="8731"/>
          </w:tcPr>
          <w:p>
            <w:r/>
            <w:r>
              <w:rPr>
                <w:sz w:val="19"/>
              </w:rPr>
              <w:t>Mail-Pending Release lets the IW enter ERP processing; closure stays blocked until SENT.</w:t>
            </w:r>
          </w:p>
        </w:tc>
      </w:tr>
      <w:tr>
        <w:tc>
          <w:tcPr>
            <w:tcW w:type="dxa" w:w="680"/>
          </w:tcPr>
          <w:p>
            <w:r/>
            <w:r>
              <w:rPr>
                <w:sz w:val="19"/>
              </w:rPr>
              <w:t>17</w:t>
            </w:r>
          </w:p>
        </w:tc>
        <w:tc>
          <w:tcPr>
            <w:tcW w:type="dxa" w:w="8731"/>
          </w:tcPr>
          <w:p>
            <w:r/>
            <w:r>
              <w:rPr>
                <w:sz w:val="19"/>
              </w:rPr>
              <w:t>Normal Ship reconciles to Full Match only after full SKU pieces + measure match.</w:t>
            </w:r>
          </w:p>
        </w:tc>
      </w:tr>
      <w:tr>
        <w:tc>
          <w:tcPr>
            <w:tcW w:type="dxa" w:w="680"/>
          </w:tcPr>
          <w:p>
            <w:r/>
            <w:r>
              <w:rPr>
                <w:sz w:val="19"/>
              </w:rPr>
              <w:t>18</w:t>
            </w:r>
          </w:p>
        </w:tc>
        <w:tc>
          <w:tcPr>
            <w:tcW w:type="dxa" w:w="8731"/>
          </w:tcPr>
          <w:p>
            <w:r/>
            <w:r>
              <w:rPr>
                <w:sz w:val="19"/>
              </w:rPr>
              <w:t>Partial receipt stays pending and becomes full after a later IRR import/re-run.</w:t>
            </w:r>
          </w:p>
        </w:tc>
      </w:tr>
      <w:tr>
        <w:tc>
          <w:tcPr>
            <w:tcW w:type="dxa" w:w="680"/>
          </w:tcPr>
          <w:p>
            <w:r/>
            <w:r>
              <w:rPr>
                <w:sz w:val="19"/>
              </w:rPr>
              <w:t>19</w:t>
            </w:r>
          </w:p>
        </w:tc>
        <w:tc>
          <w:tcPr>
            <w:tcW w:type="dxa" w:w="8731"/>
          </w:tcPr>
          <w:p>
            <w:r/>
            <w:r>
              <w:rPr>
                <w:sz w:val="19"/>
              </w:rPr>
              <w:t>Wrong Stock Receipt/Ship combination gives Not Found/Review, never a false match.</w:t>
            </w:r>
          </w:p>
        </w:tc>
      </w:tr>
      <w:tr>
        <w:tc>
          <w:tcPr>
            <w:tcW w:type="dxa" w:w="680"/>
          </w:tcPr>
          <w:p>
            <w:r/>
            <w:r>
              <w:rPr>
                <w:sz w:val="19"/>
              </w:rPr>
              <w:t>20</w:t>
            </w:r>
          </w:p>
        </w:tc>
        <w:tc>
          <w:tcPr>
            <w:tcW w:type="dxa" w:w="8731"/>
          </w:tcPr>
          <w:p>
            <w:r/>
            <w:r>
              <w:rPr>
                <w:sz w:val="19"/>
              </w:rPr>
              <w:t>Direct Factory 50/2/1: LSCRR = Yes reconciles against 47 with no SED TRX; LSCRR = No against 50 + SED TRX; wrong mode gives Review; LSCRR excess reconciles via its Excess Receipt.</w:t>
            </w:r>
          </w:p>
        </w:tc>
      </w:tr>
      <w:tr>
        <w:tc>
          <w:tcPr>
            <w:tcW w:type="dxa" w:w="680"/>
          </w:tcPr>
          <w:p>
            <w:r/>
            <w:r>
              <w:rPr>
                <w:sz w:val="19"/>
              </w:rPr>
              <w:t>21</w:t>
            </w:r>
          </w:p>
        </w:tc>
        <w:tc>
          <w:tcPr>
            <w:tcW w:type="dxa" w:w="8731"/>
          </w:tcPr>
          <w:p>
            <w:r/>
            <w:r>
              <w:rPr>
                <w:sz w:val="19"/>
              </w:rPr>
              <w:t>SED TRX reverse match detects missing, partial and unexpected extra SKU.</w:t>
            </w:r>
          </w:p>
        </w:tc>
      </w:tr>
      <w:tr>
        <w:tc>
          <w:tcPr>
            <w:tcW w:type="dxa" w:w="680"/>
          </w:tcPr>
          <w:p>
            <w:r/>
            <w:r>
              <w:rPr>
                <w:sz w:val="19"/>
              </w:rPr>
              <w:t>22</w:t>
            </w:r>
          </w:p>
        </w:tc>
        <w:tc>
          <w:tcPr>
            <w:tcW w:type="dxa" w:w="8731"/>
          </w:tcPr>
          <w:p>
            <w:r/>
            <w:r>
              <w:rPr>
                <w:sz w:val="19"/>
              </w:rPr>
              <w:t>One SED memo supports multiple TRX; TRX reused across unrelated memos raises conflict.</w:t>
            </w:r>
          </w:p>
        </w:tc>
      </w:tr>
      <w:tr>
        <w:tc>
          <w:tcPr>
            <w:tcW w:type="dxa" w:w="680"/>
          </w:tcPr>
          <w:p>
            <w:r/>
            <w:r>
              <w:rPr>
                <w:sz w:val="19"/>
              </w:rPr>
              <w:t>23</w:t>
            </w:r>
          </w:p>
        </w:tc>
        <w:tc>
          <w:tcPr>
            <w:tcW w:type="dxa" w:w="8731"/>
          </w:tcPr>
          <w:p>
            <w:r/>
            <w:r>
              <w:rPr>
                <w:sz w:val="19"/>
              </w:rPr>
              <w:t>Damage TRX pair counted once whichever TRX number is entered.</w:t>
            </w:r>
          </w:p>
        </w:tc>
      </w:tr>
      <w:tr>
        <w:tc>
          <w:tcPr>
            <w:tcW w:type="dxa" w:w="680"/>
          </w:tcPr>
          <w:p>
            <w:r/>
            <w:r>
              <w:rPr>
                <w:sz w:val="19"/>
              </w:rPr>
              <w:t>24</w:t>
            </w:r>
          </w:p>
        </w:tc>
        <w:tc>
          <w:tcPr>
            <w:tcW w:type="dxa" w:w="8731"/>
          </w:tcPr>
          <w:p>
            <w:r/>
            <w:r>
              <w:rPr>
                <w:sz w:val="19"/>
              </w:rPr>
              <w:t>IRR re-import of an overlapping file adds zero rows; identical rows within one TRX group all kept; superset group adds only extra rows.</w:t>
            </w:r>
          </w:p>
        </w:tc>
      </w:tr>
      <w:tr>
        <w:tc>
          <w:tcPr>
            <w:tcW w:type="dxa" w:w="680"/>
          </w:tcPr>
          <w:p>
            <w:r/>
            <w:r>
              <w:rPr>
                <w:sz w:val="19"/>
              </w:rPr>
              <w:t>25</w:t>
            </w:r>
          </w:p>
        </w:tc>
        <w:tc>
          <w:tcPr>
            <w:tcW w:type="dxa" w:w="8731"/>
          </w:tcPr>
          <w:p>
            <w:r/>
            <w:r>
              <w:rPr>
                <w:sz w:val="19"/>
              </w:rPr>
              <w:t>Signed MRA and LR are mandatory before closure (LR not required for Others (Non-Stock) without LR).</w:t>
            </w:r>
          </w:p>
        </w:tc>
      </w:tr>
      <w:tr>
        <w:tc>
          <w:tcPr>
            <w:tcW w:type="dxa" w:w="680"/>
          </w:tcPr>
          <w:p>
            <w:r/>
            <w:r>
              <w:rPr>
                <w:sz w:val="19"/>
              </w:rPr>
              <w:t>26</w:t>
            </w:r>
          </w:p>
        </w:tc>
        <w:tc>
          <w:tcPr>
            <w:tcW w:type="dxa" w:w="8731"/>
          </w:tcPr>
          <w:p>
            <w:r/>
            <w:r>
              <w:rPr>
                <w:sz w:val="19"/>
              </w:rPr>
              <w:t>Outbound, Colour Bank and Non-Stock tracks never enter Screen 05.</w:t>
            </w:r>
          </w:p>
        </w:tc>
      </w:tr>
      <w:tr>
        <w:tc>
          <w:tcPr>
            <w:tcW w:type="dxa" w:w="680"/>
          </w:tcPr>
          <w:p>
            <w:r/>
            <w:r>
              <w:rPr>
                <w:sz w:val="19"/>
              </w:rPr>
              <w:t>27</w:t>
            </w:r>
          </w:p>
        </w:tc>
        <w:tc>
          <w:tcPr>
            <w:tcW w:type="dxa" w:w="8731"/>
          </w:tcPr>
          <w:p>
            <w:r/>
            <w:r>
              <w:rPr>
                <w:sz w:val="19"/>
              </w:rPr>
              <w:t>Outstanding unloading ledger does not block IW closure.</w:t>
            </w:r>
          </w:p>
        </w:tc>
      </w:tr>
      <w:tr>
        <w:tc>
          <w:tcPr>
            <w:tcW w:type="dxa" w:w="680"/>
          </w:tcPr>
          <w:p>
            <w:r/>
            <w:r>
              <w:rPr>
                <w:sz w:val="19"/>
              </w:rPr>
              <w:t>28</w:t>
            </w:r>
          </w:p>
        </w:tc>
        <w:tc>
          <w:tcPr>
            <w:tcW w:type="dxa" w:w="8731"/>
          </w:tcPr>
          <w:p>
            <w:r/>
            <w:r>
              <w:rPr>
                <w:sz w:val="19"/>
              </w:rPr>
              <w:t>Closed IW is read-only; authorised reopen preserves old closure and revisions.</w:t>
            </w:r>
          </w:p>
        </w:tc>
      </w:tr>
      <w:tr>
        <w:tc>
          <w:tcPr>
            <w:tcW w:type="dxa" w:w="680"/>
          </w:tcPr>
          <w:p>
            <w:r/>
            <w:r>
              <w:rPr>
                <w:sz w:val="19"/>
              </w:rPr>
              <w:t>29</w:t>
            </w:r>
          </w:p>
        </w:tc>
        <w:tc>
          <w:tcPr>
            <w:tcW w:type="dxa" w:w="8731"/>
          </w:tcPr>
          <w:p>
            <w:r/>
            <w:r>
              <w:rPr>
                <w:sz w:val="19"/>
              </w:rPr>
              <w:t>VOID allowed only before MRA; VOID numbers never reused.</w:t>
            </w:r>
          </w:p>
        </w:tc>
      </w:tr>
      <w:tr>
        <w:tc>
          <w:tcPr>
            <w:tcW w:type="dxa" w:w="680"/>
          </w:tcPr>
          <w:p>
            <w:r/>
            <w:r>
              <w:rPr>
                <w:sz w:val="19"/>
              </w:rPr>
              <w:t>30</w:t>
            </w:r>
          </w:p>
        </w:tc>
        <w:tc>
          <w:tcPr>
            <w:tcW w:type="dxa" w:w="8731"/>
          </w:tcPr>
          <w:p>
            <w:r/>
            <w:r>
              <w:rPr>
                <w:sz w:val="19"/>
              </w:rPr>
              <w:t>IW with arrival 31-Mar 23:10 entered on 01-Apr receives the previous FY number; the first IW of each FY is 000001.</w:t>
            </w:r>
          </w:p>
        </w:tc>
      </w:tr>
      <w:tr>
        <w:tc>
          <w:tcPr>
            <w:tcW w:type="dxa" w:w="680"/>
          </w:tcPr>
          <w:p>
            <w:r/>
            <w:r>
              <w:rPr>
                <w:sz w:val="19"/>
              </w:rPr>
              <w:t>31</w:t>
            </w:r>
          </w:p>
        </w:tc>
        <w:tc>
          <w:tcPr>
            <w:tcW w:type="dxa" w:w="8731"/>
          </w:tcPr>
          <w:p>
            <w:r/>
            <w:r>
              <w:rPr>
                <w:sz w:val="19"/>
              </w:rPr>
              <w:t>A user cannot approve their own request or change their own roles.</w:t>
            </w:r>
          </w:p>
        </w:tc>
      </w:tr>
      <w:tr>
        <w:tc>
          <w:tcPr>
            <w:tcW w:type="dxa" w:w="680"/>
          </w:tcPr>
          <w:p>
            <w:r/>
            <w:r>
              <w:rPr>
                <w:sz w:val="19"/>
              </w:rPr>
              <w:t>32</w:t>
            </w:r>
          </w:p>
        </w:tc>
        <w:tc>
          <w:tcPr>
            <w:tcW w:type="dxa" w:w="8731"/>
          </w:tcPr>
          <w:p>
            <w:r/>
            <w:r>
              <w:rPr>
                <w:sz w:val="19"/>
              </w:rPr>
              <w:t>Universal search retrieves an old IW within seconds by Ship ID, receipt, TRX, LR, vehicle, SKU, Floor SKU, Vendor Code or PO No.</w:t>
            </w:r>
          </w:p>
        </w:tc>
      </w:tr>
      <w:tr>
        <w:tc>
          <w:tcPr>
            <w:tcW w:type="dxa" w:w="680"/>
          </w:tcPr>
          <w:p>
            <w:r/>
            <w:r>
              <w:rPr>
                <w:sz w:val="19"/>
              </w:rPr>
              <w:t>33</w:t>
            </w:r>
          </w:p>
        </w:tc>
        <w:tc>
          <w:tcPr>
            <w:tcW w:type="dxa" w:w="8731"/>
          </w:tcPr>
          <w:p>
            <w:r/>
            <w:r>
              <w:rPr>
                <w:sz w:val="19"/>
              </w:rPr>
              <w:t>Concurrent IW creation produces unique sequential numbers.</w:t>
            </w:r>
          </w:p>
        </w:tc>
      </w:tr>
      <w:tr>
        <w:tc>
          <w:tcPr>
            <w:tcW w:type="dxa" w:w="680"/>
          </w:tcPr>
          <w:p>
            <w:r/>
            <w:r>
              <w:rPr>
                <w:sz w:val="19"/>
              </w:rPr>
              <w:t>34</w:t>
            </w:r>
          </w:p>
        </w:tc>
        <w:tc>
          <w:tcPr>
            <w:tcW w:type="dxa" w:w="8731"/>
          </w:tcPr>
          <w:p>
            <w:r/>
            <w:r>
              <w:rPr>
                <w:sz w:val="19"/>
              </w:rPr>
              <w:t>Concurrent stale edit is rejected, never silently overwritten.</w:t>
            </w:r>
          </w:p>
        </w:tc>
      </w:tr>
      <w:tr>
        <w:tc>
          <w:tcPr>
            <w:tcW w:type="dxa" w:w="680"/>
          </w:tcPr>
          <w:p>
            <w:r/>
            <w:r>
              <w:rPr>
                <w:sz w:val="19"/>
              </w:rPr>
              <w:t>35</w:t>
            </w:r>
          </w:p>
        </w:tc>
        <w:tc>
          <w:tcPr>
            <w:tcW w:type="dxa" w:w="8731"/>
          </w:tcPr>
          <w:p>
            <w:r/>
            <w:r>
              <w:rPr>
                <w:sz w:val="19"/>
              </w:rPr>
              <w:t>Failed atomic operation rolls back all related changes.</w:t>
            </w:r>
          </w:p>
        </w:tc>
      </w:tr>
      <w:tr>
        <w:tc>
          <w:tcPr>
            <w:tcW w:type="dxa" w:w="680"/>
          </w:tcPr>
          <w:p>
            <w:r/>
            <w:r>
              <w:rPr>
                <w:sz w:val="19"/>
              </w:rPr>
              <w:t>36</w:t>
            </w:r>
          </w:p>
        </w:tc>
        <w:tc>
          <w:tcPr>
            <w:tcW w:type="dxa" w:w="8731"/>
          </w:tcPr>
          <w:p>
            <w:r/>
            <w:r>
              <w:rPr>
                <w:sz w:val="19"/>
              </w:rPr>
              <w:t>Ships marked Pre-go-live in the baseline SIT raise no exceptions.</w:t>
            </w:r>
          </w:p>
        </w:tc>
      </w:tr>
      <w:tr>
        <w:tc>
          <w:tcPr>
            <w:tcW w:type="dxa" w:w="680"/>
          </w:tcPr>
          <w:p>
            <w:r/>
            <w:r>
              <w:rPr>
                <w:sz w:val="19"/>
              </w:rPr>
              <w:t>37</w:t>
            </w:r>
          </w:p>
        </w:tc>
        <w:tc>
          <w:tcPr>
            <w:tcW w:type="dxa" w:w="8731"/>
          </w:tcPr>
          <w:p>
            <w:r/>
            <w:r>
              <w:rPr>
                <w:sz w:val="19"/>
              </w:rPr>
              <w:t>Backup includes database + documents and passes periodic restore verification.</w:t>
            </w:r>
          </w:p>
        </w:tc>
      </w:tr>
      <w:tr>
        <w:tc>
          <w:tcPr>
            <w:tcW w:type="dxa" w:w="680"/>
          </w:tcPr>
          <w:p>
            <w:r>
              <w:t>38</w:t>
            </w:r>
          </w:p>
        </w:tc>
        <w:tc>
          <w:tcPr>
            <w:tcW w:type="dxa" w:w="8731"/>
          </w:tcPr>
          <w:p>
            <w:r>
              <w:t>Every user must pass two-factor sign-in before any screen; a trusted device expires after 30 days.</w:t>
            </w:r>
          </w:p>
        </w:tc>
      </w:tr>
      <w:tr>
        <w:tc>
          <w:tcPr>
            <w:tcW w:type="dxa" w:w="680"/>
          </w:tcPr>
          <w:p>
            <w:r>
              <w:t>39</w:t>
            </w:r>
          </w:p>
        </w:tc>
        <w:tc>
          <w:tcPr>
            <w:tcW w:type="dxa" w:w="8731"/>
          </w:tcPr>
          <w:p>
            <w:r>
              <w:t>Only HTTPS (HTTP redirects) and key-only SSH are reachable from the internet; the database port is not.</w:t>
            </w:r>
          </w:p>
        </w:tc>
      </w:tr>
      <w:tr>
        <w:tc>
          <w:tcPr>
            <w:tcW w:type="dxa" w:w="680"/>
          </w:tcPr>
          <w:p>
            <w:r>
              <w:t>40</w:t>
            </w:r>
          </w:p>
        </w:tc>
        <w:tc>
          <w:tcPr>
            <w:tcW w:type="dxa" w:w="8731"/>
          </w:tcPr>
          <w:p>
            <w:r>
              <w:t>Session cookies are Secure and HttpOnly; a form posted without a valid CSRF token is rejected.</w:t>
            </w:r>
          </w:p>
        </w:tc>
      </w:tr>
      <w:tr>
        <w:tc>
          <w:tcPr>
            <w:tcW w:type="dxa" w:w="680"/>
          </w:tcPr>
          <w:p>
            <w:r>
              <w:t>41</w:t>
            </w:r>
          </w:p>
        </w:tc>
        <w:tc>
          <w:tcPr>
            <w:tcW w:type="dxa" w:w="8731"/>
          </w:tcPr>
          <w:p>
            <w:r>
              <w:t>The nightly backup reaches off-site storage and a monthly test restore succeeds.</w:t>
            </w:r>
          </w:p>
        </w:tc>
      </w:tr>
      <w:tr>
        <w:tc>
          <w:tcPr>
            <w:tcW w:type="dxa" w:w="680"/>
          </w:tcPr>
          <w:p>
            <w:r>
              <w:t>42</w:t>
            </w:r>
          </w:p>
        </w:tc>
        <w:tc>
          <w:tcPr>
            <w:tcW w:type="dxa" w:w="8731"/>
          </w:tcPr>
          <w:p>
            <w:r>
              <w:t>An IW cannot complete Screen 04 without a SENT MRA e-mail for any load type, including Others (Non-Stock); a missing sender e-mail must be entered on the spot and is marked Unverified.</w:t>
            </w:r>
          </w:p>
        </w:tc>
      </w:tr>
      <w:tr>
        <w:tc>
          <w:tcPr>
            <w:tcW w:type="dxa" w:w="680"/>
          </w:tcPr>
          <w:p>
            <w:r>
              <w:t>43</w:t>
            </w:r>
          </w:p>
        </w:tc>
        <w:tc>
          <w:tcPr>
            <w:tcW w:type="dxa" w:w="8731"/>
          </w:tcPr>
          <w:p>
            <w:r>
              <w:t>The unloading checklist prints separate Retail and Industrial sheets; an unmapped business line blocks printing.</w:t>
            </w:r>
          </w:p>
        </w:tc>
      </w:tr>
      <w:tr>
        <w:tc>
          <w:tcPr>
            <w:tcW w:type="dxa" w:w="680"/>
          </w:tcPr>
          <w:p>
            <w:r>
              <w:t>44</w:t>
            </w:r>
          </w:p>
        </w:tc>
        <w:tc>
          <w:tcPr>
            <w:tcW w:type="dxa" w:w="8731"/>
          </w:tcPr>
          <w:p>
            <w:r>
              <w:t>An SED IW sends the approval request to the Depot Manager (CC Admin Officer); an APPROVED reply from the registered address is stored in the bundle; a reply from any other address is not accepted.</w:t>
            </w:r>
          </w:p>
        </w:tc>
      </w:tr>
      <w:tr>
        <w:tc>
          <w:tcPr>
            <w:tcW w:type="dxa" w:w="680"/>
          </w:tcPr>
          <w:p>
            <w:r>
              <w:t>45</w:t>
            </w:r>
          </w:p>
        </w:tc>
        <w:tc>
          <w:tcPr>
            <w:tcW w:type="dxa" w:w="8731"/>
          </w:tcPr>
          <w:p>
            <w:r>
              <w:t>SED approval status never blocks the Oracle SED entry or IW closure, and is shown on every SED IW.</w:t>
            </w:r>
          </w:p>
        </w:tc>
      </w:tr>
      <w:tr>
        <w:tc>
          <w:tcPr>
            <w:tcW w:type="dxa" w:w="680"/>
          </w:tcPr>
          <w:p>
            <w:r>
              <w:t>46</w:t>
            </w:r>
          </w:p>
        </w:tc>
        <w:tc>
          <w:tcPr>
            <w:tcW w:type="dxa" w:w="8731"/>
          </w:tcPr>
          <w:p>
            <w:r>
              <w:t>A late approval reply attaches to a closed IW without reopening it.</w:t>
            </w:r>
          </w:p>
        </w:tc>
      </w:tr>
      <w:tr>
        <w:tc>
          <w:tcPr>
            <w:tcW w:type="dxa" w:w="680"/>
          </w:tcPr>
          <w:p>
            <w:r>
              <w:t>47</w:t>
            </w:r>
          </w:p>
        </w:tc>
        <w:tc>
          <w:tcPr>
            <w:tcW w:type="dxa" w:w="8731"/>
          </w:tcPr>
          <w:p>
            <w:r>
              <w:t>Every stored document appears in the OneDrive mirror; a changed OneDrive file is flagged by the integrity check.</w:t>
            </w:r>
          </w:p>
        </w:tc>
      </w:tr>
      <w:tr>
        <w:tc>
          <w:tcPr>
            <w:tcW w:type="dxa" w:w="680"/>
          </w:tcPr>
          <w:p>
            <w:r>
              <w:t>48</w:t>
            </w:r>
          </w:p>
        </w:tc>
        <w:tc>
          <w:tcPr>
            <w:tcW w:type="dxa" w:w="8731"/>
          </w:tcPr>
          <w:p>
            <w:r>
              <w:t>SIT is imported only by the 'Fetch from Gmail' button or manual upload; an HTML '.xls' from Oracle is imported.</w:t>
            </w:r>
          </w:p>
        </w:tc>
      </w:tr>
      <w:tr>
        <w:tc>
          <w:tcPr>
            <w:tcW w:type="dxa" w:w="680"/>
          </w:tcPr>
          <w:p>
            <w:r>
              <w:t>49</w:t>
            </w:r>
          </w:p>
        </w:tc>
        <w:tc>
          <w:tcPr>
            <w:tcW w:type="dxa" w:w="8731"/>
          </w:tcPr>
          <w:p>
            <w:r>
              <w:t>An outbound Ship cannot be saved unless its rows tally exactly with the Ship document's LTR and KG (and packages if entered), whichever row source is used; a Ship ID cannot be on two live IWs.</w:t>
            </w:r>
          </w:p>
        </w:tc>
      </w:tr>
      <w:tr>
        <w:tc>
          <w:tcPr>
            <w:tcW w:type="dxa" w:w="680"/>
          </w:tcPr>
          <w:p>
            <w:r>
              <w:t>50</w:t>
            </w:r>
          </w:p>
        </w:tc>
        <w:tc>
          <w:tcPr>
            <w:tcW w:type="dxa" w:w="8731"/>
          </w:tcPr>
          <w:p>
            <w:r>
              <w:t>A destination SIT that does not contain the Ship, or sends it to another destination, is refused.</w:t>
            </w:r>
          </w:p>
        </w:tc>
      </w:tr>
      <w:tr>
        <w:tc>
          <w:tcPr>
            <w:tcW w:type="dxa" w:w="680"/>
          </w:tcPr>
          <w:p>
            <w:r>
              <w:t>51</w:t>
            </w:r>
          </w:p>
        </w:tc>
        <w:tc>
          <w:tcPr>
            <w:tcW w:type="dxa" w:w="8731"/>
          </w:tcPr>
          <w:p>
            <w:r>
              <w:t>A drastic SKU packaging change is flagged to the CFA Manager; a revert restores the previous values.</w:t>
            </w:r>
          </w:p>
        </w:tc>
      </w:tr>
    </w:tbl>
    <w:p>
      <w:pPr>
        <w:spacing w:after="40"/>
      </w:pPr>
    </w:p>
    <w:p>
      <w:pPr>
        <w:pStyle w:val="Heading1"/>
      </w:pPr>
      <w:r>
        <w:t>20. Development-Agent Rules</w:t>
      </w:r>
    </w:p>
    <w:p>
      <w:pPr>
        <w:pStyle w:val="ListBullet"/>
        <w:spacing w:after="40"/>
      </w:pPr>
      <w:r>
        <w:t>This Source of Truth is authoritative; never reinterpret or simplify locked business rules without explicit approval.</w:t>
      </w:r>
    </w:p>
    <w:p>
      <w:pPr>
        <w:pStyle w:val="ListBullet"/>
        <w:spacing w:after="40"/>
      </w:pPr>
      <w:r>
        <w:t>Build modular services, models/migrations, tests and screens; no business rule inside Django views or templates - views call the service layer.</w:t>
      </w:r>
    </w:p>
    <w:p>
      <w:pPr>
        <w:pStyle w:val="ListBullet"/>
        <w:spacing w:after="40"/>
      </w:pPr>
      <w:r>
        <w:t>Django ORM and Django migrations only; no second database layer.</w:t>
      </w:r>
    </w:p>
    <w:p>
      <w:pPr>
        <w:pStyle w:val="ListBullet"/>
        <w:spacing w:after="40"/>
      </w:pPr>
      <w:r>
        <w:t>No hard-coded depot paths, rates, recipient addresses, package charges or secrets.</w:t>
      </w:r>
    </w:p>
    <w:p>
      <w:pPr>
        <w:pStyle w:val="ListBullet"/>
        <w:spacing w:after="40"/>
      </w:pPr>
      <w:r>
        <w:t>Never keep transaction data in sessions or browser storage; PostgreSQL is the only store.</w:t>
      </w:r>
    </w:p>
    <w:p>
      <w:pPr>
        <w:pStyle w:val="ListBullet"/>
        <w:spacing w:after="40"/>
      </w:pPr>
      <w:r>
        <w:t>Never infer ERP completion from clerk entry; IRR reconciliation is authoritative.</w:t>
      </w:r>
    </w:p>
    <w:p>
      <w:pPr>
        <w:pStyle w:val="ListBullet"/>
        <w:spacing w:after="40"/>
      </w:pPr>
      <w:r>
        <w:t>No hard-gate bypass through navigation, direct URLs, the back button, form resubmission or concurrent sessions; gates enforced in the service layer.</w:t>
      </w:r>
    </w:p>
    <w:p>
      <w:pPr>
        <w:pStyle w:val="ListBullet"/>
        <w:spacing w:after="40"/>
      </w:pPr>
      <w:r>
        <w:t>Every workflow mutation is permission-checked and audit logged.</w:t>
      </w:r>
    </w:p>
    <w:p>
      <w:pPr>
        <w:pStyle w:val="ListBullet"/>
        <w:spacing w:after="40"/>
      </w:pPr>
      <w:r>
        <w:t>Every document is traceable to IW/reference and protected by metadata and hash.</w:t>
      </w:r>
    </w:p>
    <w:p>
      <w:pPr>
        <w:pStyle w:val="ListBullet"/>
        <w:spacing w:after="40"/>
      </w:pPr>
      <w:r>
        <w:t>Only the worker process may send or read mail, and only through the MailTransport interface.</w:t>
      </w:r>
    </w:p>
    <w:p>
      <w:pPr>
        <w:pStyle w:val="ListBullet"/>
        <w:spacing w:after="40"/>
      </w:pPr>
      <w:r>
        <w:t>Importers are built and tested against the real sample files (SIT, Despatch Detail, Vendor portal, IRR) kept as test fixtures.</w:t>
      </w:r>
    </w:p>
    <w:p>
      <w:pPr>
        <w:pStyle w:val="ListBullet"/>
        <w:spacing w:after="40"/>
      </w:pPr>
      <w:r>
        <w:t>Any ambiguity is raised as a decision point; never invent a business rule.</w:t>
      </w:r>
    </w:p>
    <w:p>
      <w:pPr>
        <w:pStyle w:val="Heading1"/>
      </w:pPr>
      <w:r>
        <w:t>21. Go-Live and Delivery Plan</w:t>
      </w:r>
    </w:p>
    <w:p>
      <w:pPr>
        <w:pStyle w:val="Heading2"/>
      </w:pPr>
      <w:r>
        <w:t>21.1 Fresh start</w:t>
      </w:r>
    </w:p>
    <w:p>
      <w:pPr>
        <w:pStyle w:val="ListBullet"/>
        <w:spacing w:after="40"/>
      </w:pPr>
      <w:r>
        <w:t>The application starts empty: no historical transactions or documents are imported. The first IW is IW-2627-000001.</w:t>
      </w:r>
    </w:p>
    <w:p>
      <w:pPr>
        <w:pStyle w:val="ListBullet"/>
        <w:spacing w:after="40"/>
      </w:pPr>
      <w:r>
        <w:t>Before go-live: masters (organisations, e-mail mappings, notification recipients, transporters, vendors, SKU/packaging, package types, non-stock items, rates) are set up in the application from clean Excel templates and approved by the CFA Manager; users and roles created.</w:t>
      </w:r>
    </w:p>
    <w:p>
      <w:pPr>
        <w:pStyle w:val="ListBullet"/>
        <w:spacing w:after="40"/>
      </w:pPr>
      <w:r>
        <w:t>Before go-live: VPS hardened (section 14.5), domain and HTTPS live, off-site backup and a test restore passed, the dedicated Gmail account ready and the SIT e-mail arriving in it; every user enrolled for two-factor sign-in.</w:t>
      </w:r>
    </w:p>
    <w:p>
      <w:pPr>
        <w:pStyle w:val="ListBullet"/>
        <w:spacing w:after="40"/>
      </w:pPr>
      <w:r>
        <w:t>Go-live date C (a Monday recommended): every vehicle arriving on or after C is created in the application.</w:t>
      </w:r>
    </w:p>
    <w:p>
      <w:pPr>
        <w:pStyle w:val="ListBullet"/>
        <w:spacing w:after="40"/>
      </w:pPr>
      <w:r>
        <w:t>On day C, the first SIT import is the baseline; Ships in it that belong to vehicles received before C are bulk-marked 'Pre-go-live' and excluded from exceptions.</w:t>
      </w:r>
    </w:p>
    <w:p>
      <w:pPr>
        <w:pStyle w:val="ListBullet"/>
        <w:spacing w:after="40"/>
      </w:pPr>
      <w:r>
        <w:t>IRR files may be imported from the go-live month onward.</w:t>
      </w:r>
    </w:p>
    <w:p>
      <w:pPr>
        <w:pStyle w:val="ListBullet"/>
        <w:spacing w:after="40"/>
      </w:pPr>
      <w:r>
        <w:t>UAT before C: replay 2-4 weeks of real SIT, Despatch, Vendor and IRR files on a test database. First 5 working days after C: pilot with close support.</w:t>
      </w:r>
    </w:p>
    <w:p>
      <w:pPr>
        <w:pStyle w:val="Heading2"/>
      </w:pPr>
      <w:r>
        <w:t>21.2 Phases</w:t>
      </w:r>
    </w:p>
    <w:tbl>
      <w:tblPr>
        <w:tblStyle w:val="TableGrid"/>
        <w:tblW w:type="auto" w:w="0"/>
        <w:jc w:val="center"/>
        <w:tblLook w:firstColumn="1" w:firstRow="1" w:lastColumn="0" w:lastRow="0" w:noHBand="0" w:noVBand="1" w:val="04A0"/>
      </w:tblPr>
      <w:tblGrid>
        <w:gridCol w:w="3137"/>
        <w:gridCol w:w="3137"/>
        <w:gridCol w:w="3137"/>
      </w:tblGrid>
      <w:tr>
        <w:tc>
          <w:tcPr>
            <w:tcW w:type="dxa" w:w="1871"/>
            <w:shd w:val="clear" w:color="auto" w:fill="1F3A5F"/>
          </w:tcPr>
          <w:p>
            <w:r/>
            <w:r>
              <w:rPr>
                <w:b/>
                <w:color w:val="FFFFFF"/>
                <w:sz w:val="19"/>
              </w:rPr>
              <w:t>Phase</w:t>
            </w:r>
          </w:p>
        </w:tc>
        <w:tc>
          <w:tcPr>
            <w:tcW w:type="dxa" w:w="5386"/>
            <w:shd w:val="clear" w:color="auto" w:fill="1F3A5F"/>
          </w:tcPr>
          <w:p>
            <w:r/>
            <w:r>
              <w:rPr>
                <w:b/>
                <w:color w:val="FFFFFF"/>
                <w:sz w:val="19"/>
              </w:rPr>
              <w:t>Scope</w:t>
            </w:r>
          </w:p>
        </w:tc>
        <w:tc>
          <w:tcPr>
            <w:tcW w:type="dxa" w:w="2154"/>
            <w:shd w:val="clear" w:color="auto" w:fill="1F3A5F"/>
          </w:tcPr>
          <w:p>
            <w:r/>
            <w:r>
              <w:rPr>
                <w:b/>
                <w:color w:val="FFFFFF"/>
                <w:sz w:val="19"/>
              </w:rPr>
              <w:t>Exit criterion</w:t>
            </w:r>
          </w:p>
        </w:tc>
      </w:tr>
      <w:tr>
        <w:tc>
          <w:tcPr>
            <w:tcW w:type="dxa" w:w="1871"/>
          </w:tcPr>
          <w:p>
            <w:r>
              <w:t>0. Foundations + risk spikes (Django rework)</w:t>
            </w:r>
          </w:p>
        </w:tc>
        <w:tc>
          <w:tcPr>
            <w:tcW w:type="dxa" w:w="5386"/>
          </w:tcPr>
          <w:p>
            <w:r>
              <w:t>Django project, models and migrations, audit log, document store, users/roles/permissions with two-factor sign-in, masters. The domain rules and four importers already built and tested are carried over unchanged. Spikes first: Gmail SMTP send + Sent Mail confirmation + SIT fetch over IMAP; VPS provisioning (Docker, HTTPS, firewall, backups).</w:t>
            </w:r>
          </w:p>
        </w:tc>
        <w:tc>
          <w:tcPr>
            <w:tcW w:type="dxa" w:w="2154"/>
          </w:tcPr>
          <w:p>
            <w:r>
              <w:t>Gmail spike, four importers and deployment pass; app reachable over HTTPS with two-factor sign-in</w:t>
            </w:r>
          </w:p>
        </w:tc>
      </w:tr>
      <w:tr>
        <w:tc>
          <w:tcPr>
            <w:tcW w:type="dxa" w:w="1871"/>
          </w:tcPr>
          <w:p>
            <w:r/>
            <w:r>
              <w:rPr>
                <w:sz w:val="19"/>
              </w:rPr>
              <w:t>1. Intake</w:t>
            </w:r>
          </w:p>
        </w:tc>
        <w:tc>
          <w:tcPr>
            <w:tcW w:type="dxa" w:w="5386"/>
          </w:tcPr>
          <w:p>
            <w:r/>
            <w:r>
              <w:rPr>
                <w:sz w:val="19"/>
              </w:rPr>
              <w:t>Screens 01-03: SIT import and change detection, IW creation, all linking types incl. outbound row assignment; package conversion; checklist PDF.</w:t>
            </w:r>
          </w:p>
        </w:tc>
        <w:tc>
          <w:tcPr>
            <w:tcW w:type="dxa" w:w="2154"/>
          </w:tcPr>
          <w:p>
            <w:r/>
            <w:r>
              <w:rPr>
                <w:sz w:val="19"/>
              </w:rPr>
              <w:t>Related acceptance tests pass</w:t>
            </w:r>
          </w:p>
        </w:tc>
      </w:tr>
      <w:tr>
        <w:tc>
          <w:tcPr>
            <w:tcW w:type="dxa" w:w="1871"/>
          </w:tcPr>
          <w:p>
            <w:r/>
            <w:r>
              <w:rPr>
                <w:sz w:val="19"/>
              </w:rPr>
              <w:t>2. Unloading and MRA</w:t>
            </w:r>
          </w:p>
        </w:tc>
        <w:tc>
          <w:tcPr>
            <w:tcW w:type="dxa" w:w="5386"/>
          </w:tcPr>
          <w:p>
            <w:r/>
            <w:r>
              <w:rPr>
                <w:sz w:val="19"/>
              </w:rPr>
              <w:t>Screen 04: verification, SED with photos, unloading settlement/ledger, MRA and memo PDFs, mail queue and hard gates.</w:t>
            </w:r>
          </w:p>
        </w:tc>
        <w:tc>
          <w:tcPr>
            <w:tcW w:type="dxa" w:w="2154"/>
          </w:tcPr>
          <w:p>
            <w:r/>
            <w:r>
              <w:rPr>
                <w:sz w:val="19"/>
              </w:rPr>
              <w:t>Related acceptance tests pass</w:t>
            </w:r>
          </w:p>
        </w:tc>
      </w:tr>
      <w:tr>
        <w:tc>
          <w:tcPr>
            <w:tcW w:type="dxa" w:w="1871"/>
          </w:tcPr>
          <w:p>
            <w:r/>
            <w:r>
              <w:rPr>
                <w:sz w:val="19"/>
              </w:rPr>
              <w:t>3. ERP and closure</w:t>
            </w:r>
          </w:p>
        </w:tc>
        <w:tc>
          <w:tcPr>
            <w:tcW w:type="dxa" w:w="5386"/>
          </w:tcPr>
          <w:p>
            <w:r/>
            <w:r>
              <w:rPr>
                <w:sz w:val="19"/>
              </w:rPr>
              <w:t>Screen 05: receipts, LSCRR, IRR engine, reconciliation, final report, closure, reopen, dossier.</w:t>
            </w:r>
          </w:p>
        </w:tc>
        <w:tc>
          <w:tcPr>
            <w:tcW w:type="dxa" w:w="2154"/>
          </w:tcPr>
          <w:p>
            <w:r/>
            <w:r>
              <w:rPr>
                <w:sz w:val="19"/>
              </w:rPr>
              <w:t>Related acceptance tests pass</w:t>
            </w:r>
          </w:p>
        </w:tc>
      </w:tr>
      <w:tr>
        <w:tc>
          <w:tcPr>
            <w:tcW w:type="dxa" w:w="1871"/>
          </w:tcPr>
          <w:p>
            <w:r/>
            <w:r>
              <w:rPr>
                <w:sz w:val="19"/>
              </w:rPr>
              <w:t>GO-LIVE</w:t>
            </w:r>
          </w:p>
        </w:tc>
        <w:tc>
          <w:tcPr>
            <w:tcW w:type="dxa" w:w="5386"/>
          </w:tcPr>
          <w:p>
            <w:r/>
            <w:r>
              <w:rPr>
                <w:sz w:val="19"/>
              </w:rPr>
              <w:t>Masters set up, UAT replay, go-live, pilot week.</w:t>
            </w:r>
          </w:p>
        </w:tc>
        <w:tc>
          <w:tcPr>
            <w:tcW w:type="dxa" w:w="2154"/>
          </w:tcPr>
          <w:p>
            <w:r/>
            <w:r>
              <w:rPr>
                <w:sz w:val="19"/>
              </w:rPr>
              <w:t>CFA Manager sign-off</w:t>
            </w:r>
          </w:p>
        </w:tc>
      </w:tr>
      <w:tr>
        <w:tc>
          <w:tcPr>
            <w:tcW w:type="dxa" w:w="1871"/>
          </w:tcPr>
          <w:p>
            <w:r/>
            <w:r>
              <w:rPr>
                <w:sz w:val="19"/>
              </w:rPr>
              <w:t>4. Control and MIS</w:t>
            </w:r>
          </w:p>
        </w:tc>
        <w:tc>
          <w:tcPr>
            <w:tcW w:type="dxa" w:w="5386"/>
          </w:tcPr>
          <w:p>
            <w:r/>
            <w:r>
              <w:rPr>
                <w:sz w:val="19"/>
              </w:rPr>
              <w:t>Screens 06, 07, 09; Health screen; automated backups and restore test.</w:t>
            </w:r>
          </w:p>
        </w:tc>
        <w:tc>
          <w:tcPr>
            <w:tcW w:type="dxa" w:w="2154"/>
          </w:tcPr>
          <w:p>
            <w:r/>
            <w:r>
              <w:rPr>
                <w:sz w:val="19"/>
              </w:rPr>
              <w:t>Remaining tests pass</w:t>
            </w:r>
          </w:p>
        </w:tc>
      </w:tr>
    </w:tbl>
    <w:p>
      <w:pPr>
        <w:spacing w:after="40"/>
      </w:pPr>
    </w:p>
    <w:p>
      <w:pPr>
        <w:pStyle w:val="Heading1"/>
      </w:pPr>
      <w:r>
        <w:t>22. Items Deferred / To Confirm During Build</w:t>
      </w:r>
    </w:p>
    <w:p>
      <w:pPr>
        <w:pStyle w:val="ListBullet"/>
        <w:spacing w:after="40"/>
      </w:pPr>
      <w:r>
        <w:t>Final e-mail templates, PDF branding, logo/letterhead and wording.</w:t>
      </w:r>
    </w:p>
    <w:p>
      <w:pPr>
        <w:pStyle w:val="ListBullet"/>
        <w:spacing w:after="40"/>
      </w:pPr>
      <w:r>
        <w:t>Final retention period if company policy requires longer than the backup proposal.</w:t>
      </w:r>
    </w:p>
    <w:p>
      <w:pPr>
        <w:pStyle w:val="ListBullet"/>
        <w:spacing w:after="40"/>
      </w:pPr>
      <w:r>
        <w:t>Optional later: Google sign-in for staff accounts; Django accounts with two-factor sign-in are the standard.</w:t>
      </w:r>
    </w:p>
    <w:p>
      <w:pPr>
        <w:pStyle w:val="ListBullet"/>
        <w:spacing w:after="40"/>
      </w:pPr>
      <w:r>
        <w:t>Optional later: dedicated object storage (S3-compatible) if OneDrive limits or throttling become a constraint.</w:t>
      </w:r>
    </w:p>
    <w:p>
      <w:pPr>
        <w:pStyle w:val="ListBullet"/>
        <w:spacing w:after="40"/>
      </w:pPr>
      <w:r>
        <w:t>Colour Bank ERP tracking (flag reserved, OFF).</w:t>
      </w:r>
    </w:p>
    <w:p>
      <w:pPr>
        <w:pStyle w:val="ListBullet"/>
        <w:spacing w:after="40"/>
      </w:pPr>
      <w:r>
        <w:t>Source Org portal (external log-in to download MRA documents, possibly locked while unloading charges are pending): parked; decide later or drop.</w:t>
      </w:r>
    </w:p>
    <w:p>
      <w:pPr>
        <w:pStyle w:val="ListBullet"/>
        <w:spacing w:after="40"/>
      </w:pPr>
      <w:r>
        <w:t>Native mobile app (Flutter): only if offline photo capture in the yard becomes necessary.</w:t>
      </w:r>
    </w:p>
    <w:p>
      <w:pPr>
        <w:pStyle w:val="ListBullet"/>
        <w:spacing w:after="40"/>
      </w:pPr>
      <w:r>
        <w:t>Any future Oracle ERP API integration; current design assumes Oracle is external and reconciled through imported IRR.</w:t>
      </w:r>
    </w:p>
    <w:p>
      <w:pPr>
        <w:pStyle w:val="Heading1"/>
      </w:pPr>
      <w:r>
        <w:t>23. Locked Communication Recipient Matrix</w:t>
      </w:r>
    </w:p>
    <w:tbl>
      <w:tblPr>
        <w:tblStyle w:val="TableGrid"/>
        <w:tblW w:type="auto" w:w="0"/>
        <w:jc w:val="center"/>
        <w:tblLook w:firstColumn="1" w:firstRow="1" w:lastColumn="0" w:lastRow="0" w:noHBand="0" w:noVBand="1" w:val="04A0"/>
      </w:tblPr>
      <w:tblGrid>
        <w:gridCol w:w="4706"/>
        <w:gridCol w:w="4706"/>
      </w:tblGrid>
      <w:tr>
        <w:tc>
          <w:tcPr>
            <w:tcW w:type="dxa" w:w="3628"/>
            <w:shd w:val="clear" w:color="auto" w:fill="1F3A5F"/>
          </w:tcPr>
          <w:p>
            <w:r/>
            <w:r>
              <w:rPr>
                <w:b/>
                <w:color w:val="FFFFFF"/>
                <w:sz w:val="19"/>
              </w:rPr>
              <w:t>Communication / Report</w:t>
            </w:r>
          </w:p>
        </w:tc>
        <w:tc>
          <w:tcPr>
            <w:tcW w:type="dxa" w:w="5783"/>
            <w:shd w:val="clear" w:color="auto" w:fill="1F3A5F"/>
          </w:tcPr>
          <w:p>
            <w:r/>
            <w:r>
              <w:rPr>
                <w:b/>
                <w:color w:val="FFFFFF"/>
                <w:sz w:val="19"/>
              </w:rPr>
              <w:t>Recipients</w:t>
            </w:r>
          </w:p>
        </w:tc>
      </w:tr>
      <w:tr>
        <w:tc>
          <w:tcPr>
            <w:tcW w:type="dxa" w:w="3628"/>
          </w:tcPr>
          <w:p>
            <w:r/>
            <w:r>
              <w:rPr>
                <w:sz w:val="19"/>
              </w:rPr>
              <w:t>Immediate MRA to Source Organisation</w:t>
            </w:r>
          </w:p>
        </w:tc>
        <w:tc>
          <w:tcPr>
            <w:tcW w:type="dxa" w:w="5783"/>
          </w:tcPr>
          <w:p>
            <w:r/>
            <w:r>
              <w:rPr>
                <w:sz w:val="19"/>
              </w:rPr>
              <w:t>Source Org mapped recipients; clerk-selected CC as allowed; Origin Org CC for inbound transhipment.</w:t>
            </w:r>
          </w:p>
        </w:tc>
      </w:tr>
      <w:tr>
        <w:tc>
          <w:tcPr>
            <w:tcW w:type="dxa" w:w="3628"/>
          </w:tcPr>
          <w:p>
            <w:r/>
            <w:r>
              <w:rPr>
                <w:sz w:val="19"/>
              </w:rPr>
              <w:t>Immediate Internal SED Notification</w:t>
            </w:r>
          </w:p>
        </w:tc>
        <w:tc>
          <w:tcPr>
            <w:tcW w:type="dxa" w:w="5783"/>
          </w:tcPr>
          <w:p>
            <w:r/>
            <w:r>
              <w:rPr>
                <w:sz w:val="19"/>
              </w:rPr>
              <w:t>Depot Manager + Admin Officer + CFA Manager (mandatory).</w:t>
            </w:r>
          </w:p>
        </w:tc>
      </w:tr>
      <w:tr>
        <w:tc>
          <w:tcPr>
            <w:tcW w:type="dxa" w:w="3628"/>
          </w:tcPr>
          <w:p>
            <w:r>
              <w:t>SED Approval Request</w:t>
            </w:r>
          </w:p>
        </w:tc>
        <w:tc>
          <w:tcPr>
            <w:tcW w:type="dxa" w:w="5783"/>
          </w:tcPr>
          <w:p>
            <w:r>
              <w:t>To Depot Manager, CC Admin Officer (mandatory for every SED IW).</w:t>
            </w:r>
          </w:p>
        </w:tc>
      </w:tr>
      <w:tr>
        <w:tc>
          <w:tcPr>
            <w:tcW w:type="dxa" w:w="3628"/>
          </w:tcPr>
          <w:p>
            <w:r/>
            <w:r>
              <w:rPr>
                <w:sz w:val="19"/>
              </w:rPr>
              <w:t>Daily Escalation / Exception Report</w:t>
            </w:r>
          </w:p>
        </w:tc>
        <w:tc>
          <w:tcPr>
            <w:tcW w:type="dxa" w:w="5783"/>
          </w:tcPr>
          <w:p>
            <w:r/>
            <w:r>
              <w:rPr>
                <w:sz w:val="19"/>
              </w:rPr>
              <w:t>Admin Officer + CFA Manager + Clerk.</w:t>
            </w:r>
          </w:p>
        </w:tc>
      </w:tr>
      <w:tr>
        <w:tc>
          <w:tcPr>
            <w:tcW w:type="dxa" w:w="3628"/>
          </w:tcPr>
          <w:p>
            <w:r/>
            <w:r>
              <w:rPr>
                <w:sz w:val="19"/>
              </w:rPr>
              <w:t>Monthly Management MIS</w:t>
            </w:r>
          </w:p>
        </w:tc>
        <w:tc>
          <w:tcPr>
            <w:tcW w:type="dxa" w:w="5783"/>
          </w:tcPr>
          <w:p>
            <w:r/>
            <w:r>
              <w:rPr>
                <w:sz w:val="19"/>
              </w:rPr>
              <w:t>Admin Officer + CFA Manager + Clerk.</w:t>
            </w:r>
          </w:p>
        </w:tc>
      </w:tr>
      <w:tr>
        <w:tc>
          <w:tcPr>
            <w:tcW w:type="dxa" w:w="3628"/>
          </w:tcPr>
          <w:p>
            <w:r/>
            <w:r>
              <w:rPr>
                <w:sz w:val="19"/>
              </w:rPr>
              <w:t>SED Report</w:t>
            </w:r>
          </w:p>
        </w:tc>
        <w:tc>
          <w:tcPr>
            <w:tcW w:type="dxa" w:w="5783"/>
          </w:tcPr>
          <w:p>
            <w:r/>
            <w:r>
              <w:rPr>
                <w:sz w:val="19"/>
              </w:rPr>
              <w:t>Admin Officer + CFA Manager + Clerk.</w:t>
            </w:r>
          </w:p>
        </w:tc>
      </w:tr>
      <w:tr>
        <w:tc>
          <w:tcPr>
            <w:tcW w:type="dxa" w:w="3628"/>
          </w:tcPr>
          <w:p>
            <w:r/>
            <w:r>
              <w:rPr>
                <w:sz w:val="19"/>
              </w:rPr>
              <w:t>IRR Reconciliation Report</w:t>
            </w:r>
          </w:p>
        </w:tc>
        <w:tc>
          <w:tcPr>
            <w:tcW w:type="dxa" w:w="5783"/>
          </w:tcPr>
          <w:p>
            <w:r/>
            <w:r>
              <w:rPr>
                <w:sz w:val="19"/>
              </w:rPr>
              <w:t>Admin Officer + CFA Manager + Clerk.</w:t>
            </w:r>
          </w:p>
        </w:tc>
      </w:tr>
      <w:tr>
        <w:tc>
          <w:tcPr>
            <w:tcW w:type="dxa" w:w="3628"/>
          </w:tcPr>
          <w:p>
            <w:r/>
            <w:r>
              <w:rPr>
                <w:sz w:val="19"/>
              </w:rPr>
              <w:t>Daily Unloading Collection Status</w:t>
            </w:r>
          </w:p>
        </w:tc>
        <w:tc>
          <w:tcPr>
            <w:tcW w:type="dxa" w:w="5783"/>
          </w:tcPr>
          <w:p>
            <w:r/>
            <w:r>
              <w:rPr>
                <w:sz w:val="19"/>
              </w:rPr>
              <w:t>CFA Manager only.</w:t>
            </w:r>
          </w:p>
        </w:tc>
      </w:tr>
    </w:tbl>
    <w:p>
      <w:pPr>
        <w:spacing w:after="40"/>
      </w:pPr>
    </w:p>
    <w:p>
      <w:pPr>
        <w:pStyle w:val="Heading1"/>
      </w:pPr>
      <w:r>
        <w:t>24. Revision History and Sign-Off</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907"/>
            <w:shd w:val="clear" w:color="auto" w:fill="1F3A5F"/>
          </w:tcPr>
          <w:p>
            <w:r/>
            <w:r>
              <w:rPr>
                <w:b/>
                <w:color w:val="FFFFFF"/>
                <w:sz w:val="19"/>
              </w:rPr>
              <w:t>Version</w:t>
            </w:r>
          </w:p>
        </w:tc>
        <w:tc>
          <w:tcPr>
            <w:tcW w:type="dxa" w:w="1474"/>
            <w:shd w:val="clear" w:color="auto" w:fill="1F3A5F"/>
          </w:tcPr>
          <w:p>
            <w:r/>
            <w:r>
              <w:rPr>
                <w:b/>
                <w:color w:val="FFFFFF"/>
                <w:sz w:val="19"/>
              </w:rPr>
              <w:t>Date</w:t>
            </w:r>
          </w:p>
        </w:tc>
        <w:tc>
          <w:tcPr>
            <w:tcW w:type="dxa" w:w="1928"/>
            <w:shd w:val="clear" w:color="auto" w:fill="1F3A5F"/>
          </w:tcPr>
          <w:p>
            <w:r/>
            <w:r>
              <w:rPr>
                <w:b/>
                <w:color w:val="FFFFFF"/>
                <w:sz w:val="19"/>
              </w:rPr>
              <w:t>Status</w:t>
            </w:r>
          </w:p>
        </w:tc>
        <w:tc>
          <w:tcPr>
            <w:tcW w:type="dxa" w:w="5102"/>
            <w:shd w:val="clear" w:color="auto" w:fill="1F3A5F"/>
          </w:tcPr>
          <w:p>
            <w:r/>
            <w:r>
              <w:rPr>
                <w:b/>
                <w:color w:val="FFFFFF"/>
                <w:sz w:val="19"/>
              </w:rPr>
              <w:t>Notes</w:t>
            </w:r>
          </w:p>
        </w:tc>
      </w:tr>
      <w:tr>
        <w:tc>
          <w:tcPr>
            <w:tcW w:type="dxa" w:w="907"/>
          </w:tcPr>
          <w:p>
            <w:r/>
            <w:r>
              <w:rPr>
                <w:sz w:val="19"/>
              </w:rPr>
              <w:t>1.0</w:t>
            </w:r>
          </w:p>
        </w:tc>
        <w:tc>
          <w:tcPr>
            <w:tcW w:type="dxa" w:w="1474"/>
          </w:tcPr>
          <w:p>
            <w:r/>
            <w:r>
              <w:rPr>
                <w:sz w:val="19"/>
              </w:rPr>
              <w:t>23-Sep-2026</w:t>
            </w:r>
          </w:p>
        </w:tc>
        <w:tc>
          <w:tcPr>
            <w:tcW w:type="dxa" w:w="1928"/>
          </w:tcPr>
          <w:p>
            <w:r/>
            <w:r>
              <w:rPr>
                <w:sz w:val="19"/>
              </w:rPr>
              <w:t>Superseded</w:t>
            </w:r>
          </w:p>
        </w:tc>
        <w:tc>
          <w:tcPr>
            <w:tcW w:type="dxa" w:w="5102"/>
          </w:tcPr>
          <w:p>
            <w:r/>
            <w:r>
              <w:rPr>
                <w:sz w:val="19"/>
              </w:rPr>
              <w:t>Screens 01-10 architecture baseline.</w:t>
            </w:r>
          </w:p>
        </w:tc>
      </w:tr>
      <w:tr>
        <w:tc>
          <w:tcPr>
            <w:tcW w:type="dxa" w:w="907"/>
          </w:tcPr>
          <w:p>
            <w:r/>
            <w:r>
              <w:rPr>
                <w:sz w:val="19"/>
              </w:rPr>
              <w:t>1.1</w:t>
            </w:r>
          </w:p>
        </w:tc>
        <w:tc>
          <w:tcPr>
            <w:tcW w:type="dxa" w:w="1474"/>
          </w:tcPr>
          <w:p>
            <w:r/>
            <w:r>
              <w:rPr>
                <w:sz w:val="19"/>
              </w:rPr>
              <w:t>25-Sep-2026</w:t>
            </w:r>
          </w:p>
        </w:tc>
        <w:tc>
          <w:tcPr>
            <w:tcW w:type="dxa" w:w="1928"/>
          </w:tcPr>
          <w:p>
            <w:r/>
            <w:r>
              <w:rPr>
                <w:sz w:val="19"/>
              </w:rPr>
              <w:t>Approved, superseded</w:t>
            </w:r>
          </w:p>
        </w:tc>
        <w:tc>
          <w:tcPr>
            <w:tcW w:type="dxa" w:w="5102"/>
          </w:tcPr>
          <w:p>
            <w:r/>
            <w:r>
              <w:rPr>
                <w:sz w:val="19"/>
              </w:rPr>
              <w:t>Amendments R-01 to R-20 (LSCRR model, outbound assignment, UOM/BULKPC, Outlook COM, state model, vendor keys, SIT change detection, Floor SKU, split vehicle, precision, FY rule, permissions, Streamlit standards, Non-Stock, IRR rules, phases).</w:t>
            </w:r>
          </w:p>
        </w:tc>
      </w:tr>
      <w:tr>
        <w:tc>
          <w:tcPr>
            <w:tcW w:type="dxa" w:w="907"/>
          </w:tcPr>
          <w:p>
            <w:r/>
            <w:r>
              <w:rPr>
                <w:sz w:val="19"/>
              </w:rPr>
              <w:t>1.2</w:t>
            </w:r>
          </w:p>
        </w:tc>
        <w:tc>
          <w:tcPr>
            <w:tcW w:type="dxa" w:w="1474"/>
          </w:tcPr>
          <w:p>
            <w:r/>
            <w:r>
              <w:rPr>
                <w:sz w:val="19"/>
              </w:rPr>
              <w:t>25-Sep-2026</w:t>
            </w:r>
          </w:p>
        </w:tc>
        <w:tc>
          <w:tcPr>
            <w:tcW w:type="dxa" w:w="1928"/>
          </w:tcPr>
          <w:p>
            <w:r/>
            <w:r>
              <w:rPr>
                <w:sz w:val="19"/>
              </w:rPr>
              <w:t>Superseded</w:t>
            </w:r>
          </w:p>
        </w:tc>
        <w:tc>
          <w:tcPr>
            <w:tcW w:type="dxa" w:w="5102"/>
          </w:tcPr>
          <w:p>
            <w:r/>
            <w:r>
              <w:rPr>
                <w:sz w:val="19"/>
              </w:rPr>
              <w:t>Consolidated v1.0 + v1.1; fresh start with no earlier-tool data.</w:t>
            </w:r>
          </w:p>
        </w:tc>
      </w:tr>
      <w:tr>
        <w:tc>
          <w:tcPr>
            <w:tcW w:type="dxa" w:w="907"/>
          </w:tcPr>
          <w:p>
            <w:r/>
            <w:r>
              <w:rPr>
                <w:sz w:val="19"/>
              </w:rPr>
              <w:t>1.3</w:t>
            </w:r>
          </w:p>
        </w:tc>
        <w:tc>
          <w:tcPr>
            <w:tcW w:type="dxa" w:w="1474"/>
          </w:tcPr>
          <w:p>
            <w:r/>
            <w:r>
              <w:rPr>
                <w:sz w:val="19"/>
              </w:rPr>
              <w:t>25-Sep-2026</w:t>
            </w:r>
          </w:p>
        </w:tc>
        <w:tc>
          <w:tcPr>
            <w:tcW w:type="dxa" w:w="1928"/>
          </w:tcPr>
          <w:p>
            <w:r/>
            <w:r>
              <w:rPr>
                <w:sz w:val="19"/>
              </w:rPr>
              <w:t>LOCKED BASELINE</w:t>
            </w:r>
          </w:p>
        </w:tc>
        <w:tc>
          <w:tcPr>
            <w:tcW w:type="dxa" w:w="5102"/>
          </w:tcPr>
          <w:p>
            <w:r/>
            <w:r>
              <w:rPr>
                <w:sz w:val="19"/>
              </w:rPr>
              <w:t>Term LSCCR corrected to LSCRR throughout; operating CFA (RAINBOW LOGISTICS) added to Depot master and printed on MRA and depot documents.</w:t>
            </w:r>
          </w:p>
        </w:tc>
      </w:tr>
      <w:tr>
        <w:tc>
          <w:tcPr>
            <w:tcW w:type="dxa" w:w="907"/>
          </w:tcPr>
          <w:p>
            <w:r>
              <w:t>1.4</w:t>
            </w:r>
          </w:p>
        </w:tc>
        <w:tc>
          <w:tcPr>
            <w:tcW w:type="dxa" w:w="1474"/>
          </w:tcPr>
          <w:p>
            <w:r>
              <w:t>11-Oct-2026</w:t>
            </w:r>
          </w:p>
        </w:tc>
        <w:tc>
          <w:tcPr>
            <w:tcW w:type="dxa" w:w="1928"/>
          </w:tcPr>
          <w:p>
            <w:r>
              <w:t>Superseded by 1.5</w:t>
            </w:r>
          </w:p>
        </w:tc>
        <w:tc>
          <w:tcPr>
            <w:tcW w:type="dxa" w:w="5102"/>
          </w:tcPr>
          <w:p>
            <w:r>
              <w:t>Architecture only: Django + HTMX replaces Streamlit; Hostinger KVM 2 VPS (Ubuntu 24.04, Docker, Nginx, HTTPS) replaces the depot Windows server; dedicated Gmail account (SMTP + IMAP) replaces Outlook COM; mandatory two-factor sign-in for all users; security and hosting sections 14.5-14.6 added; WeasyPrint PDFs; off-site backups. No business-rule changes.</w:t>
            </w:r>
          </w:p>
        </w:tc>
      </w:tr>
      <w:tr>
        <w:tc>
          <w:tcPr>
            <w:tcW w:type="dxa" w:w="907"/>
          </w:tcPr>
          <w:p>
            <w:r>
              <w:t>1.5</w:t>
            </w:r>
          </w:p>
        </w:tc>
        <w:tc>
          <w:tcPr>
            <w:tcW w:type="dxa" w:w="1474"/>
          </w:tcPr>
          <w:p>
            <w:r>
              <w:t>14-Oct-2026</w:t>
            </w:r>
          </w:p>
        </w:tc>
        <w:tc>
          <w:tcPr>
            <w:tcW w:type="dxa" w:w="1928"/>
          </w:tcPr>
          <w:p>
            <w:r>
              <w:t>Superseded by 1.6</w:t>
            </w:r>
          </w:p>
        </w:tc>
        <w:tc>
          <w:tcPr>
            <w:tcW w:type="dxa" w:w="5102"/>
          </w:tcPr>
          <w:p>
            <w:r>
              <w:t>MRA e-mail mandatory for every IW incl. Non-Stock (missing e-mail entered on the spot); Retail / Industrial unloading checklists via Business Line -&gt; Warehouse master; Depot Manager SED approval by e-mail reply (CC Admin Officer), tracked but not blocking; mobile camera pages (PWA); IW bundles and backups mirrored to OneDrive; Source Org portal parked.</w:t>
            </w:r>
          </w:p>
        </w:tc>
      </w:tr>
      <w:tr>
        <w:tc>
          <w:tcPr>
            <w:tcW w:type="dxa" w:w="907"/>
          </w:tcPr>
          <w:p>
            <w:r>
              <w:t>1.6</w:t>
            </w:r>
          </w:p>
        </w:tc>
        <w:tc>
          <w:tcPr>
            <w:tcW w:type="dxa" w:w="1474"/>
          </w:tcPr>
          <w:p>
            <w:r>
              <w:t>16-Oct-2026</w:t>
            </w:r>
          </w:p>
        </w:tc>
        <w:tc>
          <w:tcPr>
            <w:tcW w:type="dxa" w:w="1928"/>
          </w:tcPr>
          <w:p>
            <w:r>
              <w:t>DRAFT FOR APPROVAL</w:t>
            </w:r>
          </w:p>
        </w:tc>
        <w:tc>
          <w:tcPr>
            <w:tcW w:type="dxa" w:w="5102"/>
          </w:tcPr>
          <w:p>
            <w:r>
              <w:t>SIT fetched by button, no schedule; real SIT subject (CBPPROD1) and HTML format; native server install instead of Docker, DNS in Cloudflare; outbound tick-and-tally with three row sources (Despatch report, destination SIT, manual); vendor warehouse chosen by the clerk; SKU packaging master upload / edit / drastic-change review; checklist revisions.</w:t>
            </w:r>
          </w:p>
        </w:tc>
      </w:tr>
    </w:tbl>
    <w:p>
      <w:pPr>
        <w:spacing w:after="40"/>
      </w:pPr>
    </w:p>
    <w:p>
      <w:pPr>
        <w:spacing w:after="80"/>
      </w:pPr>
      <w:r>
        <w:rPr>
          <w:i w:val="0"/>
        </w:rPr>
        <w:t>Future changes are controlled revisions of this document with version history and impact assessment before implementation.</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