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Aligno CRM</w:t>
      </w:r>
    </w:p>
    <w:p>
      <w:pPr>
        <w:spacing w:after="200"/>
        <w:jc w:val="center"/>
      </w:pPr>
      <w:r>
        <w:rPr>
          <w:sz w:val="36"/>
          <w:szCs w:val="36"/>
        </w:rPr>
        <w:t xml:space="preserve">Email &amp; SMS Setup — User Manual</w:t>
      </w:r>
    </w:p>
    <w:p>
      <w:pPr>
        <w:spacing w:after="2400"/>
        <w:jc w:val="center"/>
      </w:pPr>
      <w:r>
        <w:rPr>
          <w:i/>
          <w:iCs/>
          <w:color w:val="555555"/>
          <w:sz w:val="22"/>
          <w:szCs w:val="22"/>
        </w:rPr>
        <w:t xml:space="preserve">Email sending &amp; replies · Phone numbers · A2P 10DLC · Toll-free verification</w:t>
      </w:r>
    </w:p>
    <w:p>
      <w:pPr>
        <w:jc w:val="center"/>
      </w:pPr>
      <w:r>
        <w:rPr>
          <w:color w:val="888888"/>
        </w:rPr>
        <w:t xml:space="preserve">Version 1.0 — August 2026</w:t>
      </w:r>
    </w:p>
    <w:p>
      <w:pPr>
        <w:pStyle w:val="Heading1"/>
        <w:spacing w:after="160" w:before="360"/>
      </w:pPr>
      <w:r>
        <w:t xml:space="preserve">1. Overview</w:t>
      </w:r>
    </w:p>
    <w:p>
      <w:pPr>
        <w:spacing w:after="120"/>
      </w:pPr>
      <w:r>
        <w:t xml:space="preserve">Aligno sends and receives email through its built-in sending domain with smart reply routing, and sends and receives SMS from each workspace's own Twilio phone numbers. This manual walks through how email works, buying and managing SMS numbers, completing US carrier compliance (A2P 10DLC and toll-free verification), and troubleshooting.</w:t>
      </w:r>
    </w:p>
    <w:p>
      <w:pPr>
        <w:spacing w:after="120"/>
      </w:pPr>
      <w:r>
        <w:t xml:space="preserve">Everything described here lives in </w:t>
      </w:r>
      <w:r>
        <w:rPr>
          <w:b/>
          <w:bCs/>
        </w:rPr>
        <w:t xml:space="preserve">Settings</w:t>
      </w:r>
      <w:r>
        <w:t xml:space="preserve">, in the </w:t>
      </w:r>
      <w:r>
        <w:rPr>
          <w:b/>
          <w:bCs/>
        </w:rPr>
        <w:t xml:space="preserve">SMS setup</w:t>
      </w:r>
      <w:r>
        <w:t xml:space="preserve"> section. Only workspace </w:t>
      </w:r>
      <w:r>
        <w:rPr>
          <w:b/>
          <w:bCs/>
        </w:rPr>
        <w:t xml:space="preserve">owners and admins</w:t>
      </w:r>
      <w:r>
        <w:t xml:space="preserve"> can manage these settings.</w:t>
      </w:r>
    </w:p>
    <w:p>
      <w:pPr>
        <w:pStyle w:val="Heading1"/>
        <w:spacing w:after="160" w:before="360"/>
      </w:pPr>
      <w:r>
        <w:t xml:space="preserve">2. Email sending &amp; replies</w:t>
      </w:r>
    </w:p>
    <w:p>
      <w:pPr>
        <w:spacing w:after="120"/>
      </w:pPr>
      <w:r>
        <w:t xml:space="preserve">Every workspace can send one-to-one messages and campaigns out of the box — no mailbox connection or setup required. Emails are delivered through Aligno's verified sending domain with your workspace's display name, so recipients see e.g. </w:t>
      </w:r>
      <w:r>
        <w:rPr>
          <w:b/>
          <w:bCs/>
        </w:rPr>
        <w:t xml:space="preserve">“Pentridge Media”</w:t>
      </w:r>
      <w:r>
        <w:t xml:space="preserve"> as the sender.</w:t>
      </w:r>
    </w:p>
    <w:p>
      <w:pPr>
        <w:pStyle w:val="Heading2"/>
        <w:spacing w:after="120" w:before="280"/>
      </w:pPr>
      <w:r>
        <w:t xml:space="preserve">2.1 Reply addresses</w:t>
      </w:r>
    </w:p>
    <w:p>
      <w:pPr>
        <w:spacing w:after="120"/>
      </w:pPr>
      <w:r>
        <w:t xml:space="preserve">Replies route back into Aligno automatically. Each workspace gets a clean, human-readable reply address — for example </w:t>
      </w:r>
      <w:r>
        <w:rPr>
          <w:rFonts w:ascii="Consolas" w:cs="Consolas" w:eastAsia="Consolas" w:hAnsi="Consolas"/>
          <w:sz w:val="20"/>
          <w:szCs w:val="20"/>
        </w:rPr>
        <w:t xml:space="preserve">pentridge-media@contact.alignocrm.com</w:t>
      </w:r>
      <w:r>
        <w:t xml:space="preserve"> — generated from your workspace name the first time you send. When a contact hits reply, the message lands in their conversation in the Conversations inbox, usually within seconds.</w:t>
      </w:r>
    </w:p>
    <w:p>
      <w:pPr>
        <w:pStyle w:val="ListParagraph"/>
        <w:numPr>
          <w:ilvl w:val="0"/>
          <w:numId w:val="1"/>
        </w:numPr>
        <w:spacing w:after="60"/>
      </w:pPr>
      <w:r>
        <w:t xml:space="preserve">Replies are matched to the contact by their email address; unknown senders become new contacts automatically.</w:t>
      </w:r>
    </w:p>
    <w:p>
      <w:pPr>
        <w:pStyle w:val="ListParagraph"/>
        <w:numPr>
          <w:ilvl w:val="0"/>
          <w:numId w:val="1"/>
        </w:numPr>
        <w:spacing w:after="60"/>
      </w:pPr>
      <w:r>
        <w:t xml:space="preserve">HTML bodies are sanitized and quoted reply history is stripped, so conversations stay readable.</w:t>
      </w:r>
    </w:p>
    <w:p>
      <w:pPr>
        <w:pStyle w:val="ListParagraph"/>
        <w:numPr>
          <w:ilvl w:val="0"/>
          <w:numId w:val="1"/>
        </w:numPr>
        <w:spacing w:after="60"/>
      </w:pPr>
      <w:r>
        <w:t xml:space="preserve">Unsubscribe headers and suppression lists are applied to campaign email automatically.</w:t>
      </w:r>
    </w:p>
    <w:p>
      <w:pPr>
        <w:pStyle w:val="Heading1"/>
        <w:spacing w:after="160" w:before="360"/>
      </w:pPr>
      <w:r>
        <w:t xml:space="preserve">3. SMS phone numbers</w:t>
      </w:r>
    </w:p>
    <w:p>
      <w:pPr>
        <w:pStyle w:val="Heading2"/>
        <w:spacing w:after="120" w:before="280"/>
      </w:pPr>
      <w:r>
        <w:t xml:space="preserve">3.1 Search and buy a number</w:t>
      </w:r>
    </w:p>
    <w:p>
      <w:pPr>
        <w:pStyle w:val="ListParagraph"/>
        <w:numPr>
          <w:ilvl w:val="0"/>
          <w:numId w:val="2"/>
        </w:numPr>
        <w:spacing w:after="60"/>
      </w:pPr>
      <w:r>
        <w:t xml:space="preserve">Open </w:t>
      </w:r>
      <w:r>
        <w:rPr>
          <w:b/>
          <w:bCs/>
        </w:rPr>
        <w:t xml:space="preserve">Settings → SMS setup</w:t>
      </w:r>
      <w:r>
        <w:t xml:space="preserve">.</w:t>
      </w:r>
    </w:p>
    <w:p>
      <w:pPr>
        <w:pStyle w:val="ListParagraph"/>
        <w:numPr>
          <w:ilvl w:val="0"/>
          <w:numId w:val="2"/>
        </w:numPr>
        <w:spacing w:after="60"/>
      </w:pPr>
      <w:r>
        <w:t xml:space="preserve">Pick the number </w:t>
      </w:r>
      <w:r>
        <w:rPr>
          <w:b/>
          <w:bCs/>
        </w:rPr>
        <w:t xml:space="preserve">Type</w:t>
      </w:r>
      <w:r>
        <w:t xml:space="preserve"> — </w:t>
      </w:r>
      <w:r>
        <w:rPr>
          <w:b/>
          <w:bCs/>
        </w:rPr>
        <w:t xml:space="preserve">Local</w:t>
      </w:r>
      <w:r>
        <w:t xml:space="preserve"> or </w:t>
      </w:r>
      <w:r>
        <w:rPr>
          <w:b/>
          <w:bCs/>
        </w:rPr>
        <w:t xml:space="preserve">Toll-free</w:t>
      </w:r>
      <w:r>
        <w:t xml:space="preserve"> — and optionally an </w:t>
      </w:r>
      <w:r>
        <w:rPr>
          <w:b/>
          <w:bCs/>
        </w:rPr>
        <w:t xml:space="preserve">Area code</w:t>
      </w:r>
      <w:r>
        <w:t xml:space="preserve"> for local numbers.</w:t>
      </w:r>
    </w:p>
    <w:p>
      <w:pPr>
        <w:pStyle w:val="ListParagraph"/>
        <w:numPr>
          <w:ilvl w:val="0"/>
          <w:numId w:val="2"/>
        </w:numPr>
        <w:spacing w:after="60"/>
      </w:pPr>
      <w:r>
        <w:t xml:space="preserve">Search, then buy the number you want. It is provisioned in Twilio and attached to your workspace.</w:t>
      </w:r>
    </w:p>
    <w:p>
      <w:pPr>
        <w:pBdr>
          <w:top w:val="dashed" w:color="999999" w:sz="6"/>
          <w:bottom w:val="dashed" w:color="999999" w:sz="6"/>
          <w:left w:val="dashed" w:color="999999" w:sz="6"/>
          <w:right w:val="dashed" w:color="999999" w:sz="6"/>
        </w:pBdr>
        <w:spacing w:after="160" w:before="80"/>
        <w:jc w:val="center"/>
      </w:pPr>
      <w:r>
        <w:rPr>
          <w:i/>
          <w:iCs/>
          <w:color w:val="666666"/>
        </w:rPr>
        <w:t xml:space="preserve">[Screenshot placeholder: SMS setup — number search with Type and Area code inputs and results list]</w:t>
      </w:r>
    </w:p>
    <w:p>
      <w:pPr>
        <w:pStyle w:val="Heading2"/>
        <w:spacing w:after="120" w:before="280"/>
      </w:pPr>
      <w:r>
        <w:t xml:space="preserve">3.2 Default number and releasing</w:t>
      </w:r>
    </w:p>
    <w:p>
      <w:pPr>
        <w:pStyle w:val="ListParagraph"/>
        <w:numPr>
          <w:ilvl w:val="0"/>
          <w:numId w:val="1"/>
        </w:numPr>
        <w:spacing w:after="60"/>
      </w:pPr>
      <w:r>
        <w:rPr>
          <w:b/>
          <w:bCs/>
        </w:rPr>
        <w:t xml:space="preserve">Default number: </w:t>
      </w:r>
      <w:r>
        <w:t xml:space="preserve">outbound SMS is sent from your workspace's default number. Set any owned number as default from its row.</w:t>
      </w:r>
    </w:p>
    <w:p>
      <w:pPr>
        <w:pStyle w:val="ListParagraph"/>
        <w:numPr>
          <w:ilvl w:val="0"/>
          <w:numId w:val="1"/>
        </w:numPr>
        <w:spacing w:after="60"/>
      </w:pPr>
      <w:r>
        <w:rPr>
          <w:b/>
          <w:bCs/>
        </w:rPr>
        <w:t xml:space="preserve">Release number: </w:t>
      </w:r>
      <w:r>
        <w:t xml:space="preserve">the </w:t>
      </w:r>
      <w:r>
        <w:rPr>
          <w:b/>
          <w:bCs/>
        </w:rPr>
        <w:t xml:space="preserve">Release number</w:t>
      </w:r>
      <w:r>
        <w:t xml:space="preserve"> action returns the number to Twilio. This is permanent — you usually cannot get the same number back, and monthly billing for it stops.</w:t>
      </w:r>
    </w:p>
    <w:p>
      <w:pPr>
        <w:pStyle w:val="ListParagraph"/>
        <w:numPr>
          <w:ilvl w:val="0"/>
          <w:numId w:val="1"/>
        </w:numPr>
        <w:spacing w:after="60"/>
      </w:pPr>
      <w:r>
        <w:rPr>
          <w:b/>
          <w:bCs/>
        </w:rPr>
        <w:t xml:space="preserve">Inbound: </w:t>
      </w:r>
      <w:r>
        <w:t xml:space="preserve">texts to any workspace number are routed into Aligno Conversations automatically.</w:t>
      </w:r>
    </w:p>
    <w:p>
      <w:pPr>
        <w:shd w:fill="F2EFE8" w:val="clear"/>
        <w:spacing w:after="160"/>
      </w:pPr>
      <w:r>
        <w:rPr>
          <w:b/>
          <w:bCs/>
        </w:rPr>
        <w:t xml:space="preserve">Note: </w:t>
      </w:r>
      <w:r>
        <w:t xml:space="preserve">If the workspace has no number of its own, sending falls back to the shared messaging service if one is configured.</w:t>
      </w:r>
    </w:p>
    <w:p>
      <w:pPr>
        <w:pStyle w:val="Heading1"/>
        <w:spacing w:after="160" w:before="360"/>
      </w:pPr>
      <w:r>
        <w:t xml:space="preserve">4. A2P 10DLC registration (local numbers)</w:t>
      </w:r>
    </w:p>
    <w:p>
      <w:pPr>
        <w:spacing w:after="120"/>
      </w:pPr>
      <w:r>
        <w:t xml:space="preserve">US carriers require businesses sending SMS from local (10-digit) numbers to register a brand and campaign — this is A2P 10DLC. Unregistered traffic is filtered or blocked. Register once per workspace.</w:t>
      </w:r>
    </w:p>
    <w:p>
      <w:pPr>
        <w:pStyle w:val="Heading2"/>
        <w:spacing w:after="120" w:before="280"/>
      </w:pPr>
      <w:r>
        <w:t xml:space="preserve">4.1 Submitting</w:t>
      </w:r>
    </w:p>
    <w:p>
      <w:pPr>
        <w:pStyle w:val="ListParagraph"/>
        <w:numPr>
          <w:ilvl w:val="0"/>
          <w:numId w:val="3"/>
        </w:numPr>
        <w:spacing w:after="60"/>
      </w:pPr>
      <w:r>
        <w:t xml:space="preserve">In </w:t>
      </w:r>
      <w:r>
        <w:rPr>
          <w:b/>
          <w:bCs/>
        </w:rPr>
        <w:t xml:space="preserve">Settings → SMS setup</w:t>
      </w:r>
      <w:r>
        <w:t xml:space="preserve">, fill in the A2P registration form: </w:t>
      </w:r>
      <w:r>
        <w:rPr>
          <w:b/>
          <w:bCs/>
        </w:rPr>
        <w:t xml:space="preserve">Business name</w:t>
      </w:r>
      <w:r>
        <w:t xml:space="preserve">, </w:t>
      </w:r>
      <w:r>
        <w:rPr>
          <w:b/>
          <w:bCs/>
        </w:rPr>
        <w:t xml:space="preserve">Website</w:t>
      </w:r>
      <w:r>
        <w:t xml:space="preserve">, business type and registration number (EIN), address, contact details, </w:t>
      </w:r>
      <w:r>
        <w:rPr>
          <w:b/>
          <w:bCs/>
        </w:rPr>
        <w:t xml:space="preserve">Opt-in type</w:t>
      </w:r>
      <w:r>
        <w:t xml:space="preserve">, </w:t>
      </w:r>
      <w:r>
        <w:rPr>
          <w:b/>
          <w:bCs/>
        </w:rPr>
        <w:t xml:space="preserve">Monthly volume</w:t>
      </w:r>
      <w:r>
        <w:t xml:space="preserve">, </w:t>
      </w:r>
      <w:r>
        <w:rPr>
          <w:b/>
          <w:bCs/>
        </w:rPr>
        <w:t xml:space="preserve">Message sample</w:t>
      </w:r>
      <w:r>
        <w:t xml:space="preserve">, </w:t>
      </w:r>
      <w:r>
        <w:rPr>
          <w:b/>
          <w:bCs/>
        </w:rPr>
        <w:t xml:space="preserve">Use-case summary</w:t>
      </w:r>
      <w:r>
        <w:t xml:space="preserve">, and </w:t>
      </w:r>
      <w:r>
        <w:rPr>
          <w:b/>
          <w:bCs/>
        </w:rPr>
        <w:t xml:space="preserve">Notification email</w:t>
      </w:r>
      <w:r>
        <w:t xml:space="preserve">.</w:t>
      </w:r>
    </w:p>
    <w:p>
      <w:pPr>
        <w:pStyle w:val="ListParagraph"/>
        <w:numPr>
          <w:ilvl w:val="0"/>
          <w:numId w:val="3"/>
        </w:numPr>
        <w:spacing w:after="60"/>
      </w:pPr>
      <w:r>
        <w:t xml:space="preserve">Submit. Aligno creates the brand and campaign with Twilio and tracks their status.</w:t>
      </w:r>
    </w:p>
    <w:p>
      <w:pPr>
        <w:pStyle w:val="ListParagraph"/>
        <w:numPr>
          <w:ilvl w:val="0"/>
          <w:numId w:val="3"/>
        </w:numPr>
        <w:spacing w:after="60"/>
      </w:pPr>
      <w:r>
        <w:t xml:space="preserve">Use the refresh action to pull the latest status; status changes also arrive automatically via Twilio callbacks.</w:t>
      </w:r>
    </w:p>
    <w:p>
      <w:pPr>
        <w:pBdr>
          <w:top w:val="dashed" w:color="999999" w:sz="6"/>
          <w:bottom w:val="dashed" w:color="999999" w:sz="6"/>
          <w:left w:val="dashed" w:color="999999" w:sz="6"/>
          <w:right w:val="dashed" w:color="999999" w:sz="6"/>
        </w:pBdr>
        <w:spacing w:after="160" w:before="80"/>
        <w:jc w:val="center"/>
      </w:pPr>
      <w:r>
        <w:rPr>
          <w:i/>
          <w:iCs/>
          <w:color w:val="666666"/>
        </w:rPr>
        <w:t xml:space="preserve">[Screenshot placeholder: A2P registration form with business fields, opt-in type, volume, sample and use-case]</w:t>
      </w:r>
    </w:p>
    <w:p>
      <w:pPr>
        <w:pStyle w:val="Heading2"/>
        <w:spacing w:after="120" w:before="280"/>
      </w:pPr>
      <w:r>
        <w:t xml:space="preserve">4.2 Status meanings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6%"/>
            <w:shd w:fill="E8E4DA" w:val="clear"/>
            <w:tcMar>
              <w:top w:type="dxa" w:w="80"/>
              <w:left w:type="dxa" w:w="120"/>
              <w:bottom w:type="dxa" w:w="80"/>
              <w:right w:type="dxa" w:w="120"/>
            </w:tcMar>
          </w:tcPr>
          <w:p>
            <w:r>
              <w:rPr>
                <w:b/>
                <w:bCs/>
              </w:rPr>
              <w:t xml:space="preserve">Status</w:t>
            </w:r>
          </w:p>
        </w:tc>
        <w:tc>
          <w:tcPr>
            <w:tcW w:type="pct" w:w="44%"/>
            <w:shd w:fill="E8E4DA" w:val="clear"/>
            <w:tcMar>
              <w:top w:type="dxa" w:w="80"/>
              <w:left w:type="dxa" w:w="120"/>
              <w:bottom w:type="dxa" w:w="80"/>
              <w:right w:type="dxa" w:w="120"/>
            </w:tcMar>
          </w:tcPr>
          <w:p>
            <w:r>
              <w:rPr>
                <w:b/>
                <w:bCs/>
              </w:rPr>
              <w:t xml:space="preserve">Meaning</w:t>
            </w:r>
          </w:p>
        </w:tc>
        <w:tc>
          <w:tcPr>
            <w:tcW w:type="pct" w:w="40%"/>
            <w:shd w:fill="E8E4DA" w:val="clear"/>
            <w:tcMar>
              <w:top w:type="dxa" w:w="80"/>
              <w:left w:type="dxa" w:w="120"/>
              <w:bottom w:type="dxa" w:w="80"/>
              <w:right w:type="dxa" w:w="120"/>
            </w:tcMar>
          </w:tcPr>
          <w:p>
            <w:r>
              <w:rPr>
                <w:b/>
                <w:bCs/>
              </w:rPr>
              <w:t xml:space="preserve">What to do</w:t>
            </w:r>
          </w:p>
        </w:tc>
      </w:tr>
      <w:tr>
        <w:tc>
          <w:tcPr>
            <w:tcW w:type="pct" w:w="16%"/>
            <w:tcMar>
              <w:top w:type="dxa" w:w="80"/>
              <w:left w:type="dxa" w:w="120"/>
              <w:bottom w:type="dxa" w:w="80"/>
              <w:right w:type="dxa" w:w="120"/>
            </w:tcMar>
          </w:tcPr>
          <w:p>
            <w:r>
              <w:rPr>
                <w:b w:val="false"/>
                <w:bCs w:val="false"/>
              </w:rPr>
              <w:t xml:space="preserve">draft</w:t>
            </w:r>
          </w:p>
        </w:tc>
        <w:tc>
          <w:tcPr>
            <w:tcW w:type="pct" w:w="44%"/>
            <w:tcMar>
              <w:top w:type="dxa" w:w="80"/>
              <w:left w:type="dxa" w:w="120"/>
              <w:bottom w:type="dxa" w:w="80"/>
              <w:right w:type="dxa" w:w="120"/>
            </w:tcMar>
          </w:tcPr>
          <w:p>
            <w:r>
              <w:rPr>
                <w:b w:val="false"/>
                <w:bCs w:val="false"/>
              </w:rPr>
              <w:t xml:space="preserve">Not yet submitted to Twilio.</w:t>
            </w:r>
          </w:p>
        </w:tc>
        <w:tc>
          <w:tcPr>
            <w:tcW w:type="pct" w:w="40%"/>
            <w:tcMar>
              <w:top w:type="dxa" w:w="80"/>
              <w:left w:type="dxa" w:w="120"/>
              <w:bottom w:type="dxa" w:w="80"/>
              <w:right w:type="dxa" w:w="120"/>
            </w:tcMar>
          </w:tcPr>
          <w:p>
            <w:r>
              <w:rPr>
                <w:b w:val="false"/>
                <w:bCs w:val="false"/>
              </w:rPr>
              <w:t xml:space="preserve">Complete and submit the form.</w:t>
            </w:r>
          </w:p>
        </w:tc>
      </w:tr>
      <w:tr>
        <w:tc>
          <w:tcPr>
            <w:tcW w:type="pct" w:w="16%"/>
            <w:tcMar>
              <w:top w:type="dxa" w:w="80"/>
              <w:left w:type="dxa" w:w="120"/>
              <w:bottom w:type="dxa" w:w="80"/>
              <w:right w:type="dxa" w:w="120"/>
            </w:tcMar>
          </w:tcPr>
          <w:p>
            <w:r>
              <w:rPr>
                <w:b w:val="false"/>
                <w:bCs w:val="false"/>
              </w:rPr>
              <w:t xml:space="preserve">pending</w:t>
            </w:r>
          </w:p>
        </w:tc>
        <w:tc>
          <w:tcPr>
            <w:tcW w:type="pct" w:w="44%"/>
            <w:tcMar>
              <w:top w:type="dxa" w:w="80"/>
              <w:left w:type="dxa" w:w="120"/>
              <w:bottom w:type="dxa" w:w="80"/>
              <w:right w:type="dxa" w:w="120"/>
            </w:tcMar>
          </w:tcPr>
          <w:p>
            <w:r>
              <w:rPr>
                <w:b w:val="false"/>
                <w:bCs w:val="false"/>
              </w:rPr>
              <w:t xml:space="preserve">Twilio / carriers are reviewing the brand or campaign.</w:t>
            </w:r>
          </w:p>
        </w:tc>
        <w:tc>
          <w:tcPr>
            <w:tcW w:type="pct" w:w="40%"/>
            <w:tcMar>
              <w:top w:type="dxa" w:w="80"/>
              <w:left w:type="dxa" w:w="120"/>
              <w:bottom w:type="dxa" w:w="80"/>
              <w:right w:type="dxa" w:w="120"/>
            </w:tcMar>
          </w:tcPr>
          <w:p>
            <w:r>
              <w:rPr>
                <w:b w:val="false"/>
                <w:bCs w:val="false"/>
              </w:rPr>
              <w:t xml:space="preserve">Wait — brand review is often minutes-to-hours; campaign review can take days.</w:t>
            </w:r>
          </w:p>
        </w:tc>
      </w:tr>
      <w:tr>
        <w:tc>
          <w:tcPr>
            <w:tcW w:type="pct" w:w="16%"/>
            <w:tcMar>
              <w:top w:type="dxa" w:w="80"/>
              <w:left w:type="dxa" w:w="120"/>
              <w:bottom w:type="dxa" w:w="80"/>
              <w:right w:type="dxa" w:w="120"/>
            </w:tcMar>
          </w:tcPr>
          <w:p>
            <w:r>
              <w:rPr>
                <w:b w:val="false"/>
                <w:bCs w:val="false"/>
              </w:rPr>
              <w:t xml:space="preserve">approved</w:t>
            </w:r>
          </w:p>
        </w:tc>
        <w:tc>
          <w:tcPr>
            <w:tcW w:type="pct" w:w="44%"/>
            <w:tcMar>
              <w:top w:type="dxa" w:w="80"/>
              <w:left w:type="dxa" w:w="120"/>
              <w:bottom w:type="dxa" w:w="80"/>
              <w:right w:type="dxa" w:w="120"/>
            </w:tcMar>
          </w:tcPr>
          <w:p>
            <w:r>
              <w:rPr>
                <w:b w:val="false"/>
                <w:bCs w:val="false"/>
              </w:rPr>
              <w:t xml:space="preserve">Registered. Messages from your local numbers are carrier-compliant.</w:t>
            </w:r>
          </w:p>
        </w:tc>
        <w:tc>
          <w:tcPr>
            <w:tcW w:type="pct" w:w="40%"/>
            <w:tcMar>
              <w:top w:type="dxa" w:w="80"/>
              <w:left w:type="dxa" w:w="120"/>
              <w:bottom w:type="dxa" w:w="80"/>
              <w:right w:type="dxa" w:w="120"/>
            </w:tcMar>
          </w:tcPr>
          <w:p>
            <w:r>
              <w:rPr>
                <w:b w:val="false"/>
                <w:bCs w:val="false"/>
              </w:rPr>
              <w:t xml:space="preserve">Nothing — you're done.</w:t>
            </w:r>
          </w:p>
        </w:tc>
      </w:tr>
      <w:tr>
        <w:tc>
          <w:tcPr>
            <w:tcW w:type="pct" w:w="16%"/>
            <w:tcMar>
              <w:top w:type="dxa" w:w="80"/>
              <w:left w:type="dxa" w:w="120"/>
              <w:bottom w:type="dxa" w:w="80"/>
              <w:right w:type="dxa" w:w="120"/>
            </w:tcMar>
          </w:tcPr>
          <w:p>
            <w:r>
              <w:rPr>
                <w:b w:val="false"/>
                <w:bCs w:val="false"/>
              </w:rPr>
              <w:t xml:space="preserve">rejected</w:t>
            </w:r>
          </w:p>
        </w:tc>
        <w:tc>
          <w:tcPr>
            <w:tcW w:type="pct" w:w="44%"/>
            <w:tcMar>
              <w:top w:type="dxa" w:w="80"/>
              <w:left w:type="dxa" w:w="120"/>
              <w:bottom w:type="dxa" w:w="80"/>
              <w:right w:type="dxa" w:w="120"/>
            </w:tcMar>
          </w:tcPr>
          <w:p>
            <w:r>
              <w:rPr>
                <w:b w:val="false"/>
                <w:bCs w:val="false"/>
              </w:rPr>
              <w:t xml:space="preserve">Carriers rejected the brand or campaign.</w:t>
            </w:r>
          </w:p>
        </w:tc>
        <w:tc>
          <w:tcPr>
            <w:tcW w:type="pct" w:w="40%"/>
            <w:tcMar>
              <w:top w:type="dxa" w:w="80"/>
              <w:left w:type="dxa" w:w="120"/>
              <w:bottom w:type="dxa" w:w="80"/>
              <w:right w:type="dxa" w:w="120"/>
            </w:tcMar>
          </w:tcPr>
          <w:p>
            <w:r>
              <w:rPr>
                <w:b w:val="false"/>
                <w:bCs w:val="false"/>
              </w:rPr>
              <w:t xml:space="preserve">Fix the flagged details (legal name / EIN mismatch is the most common) and resubmit.</w:t>
            </w:r>
          </w:p>
        </w:tc>
      </w:tr>
    </w:tbl>
    <w:p>
      <w:pPr>
        <w:shd w:fill="F2EFE8" w:val="clear"/>
        <w:spacing w:after="160"/>
      </w:pPr>
      <w:r>
        <w:rPr>
          <w:b/>
          <w:bCs/>
        </w:rPr>
        <w:t xml:space="preserve">Note: </w:t>
      </w:r>
      <w:r>
        <w:t xml:space="preserve">One-time carrier brand/campaign fees are billed by Twilio when you submit — expect real charges.</w:t>
      </w:r>
    </w:p>
    <w:p>
      <w:pPr>
        <w:pStyle w:val="Heading1"/>
        <w:spacing w:after="160" w:before="360"/>
      </w:pPr>
      <w:r>
        <w:t xml:space="preserve">5. Toll-free verification</w:t>
      </w:r>
    </w:p>
    <w:p>
      <w:pPr>
        <w:spacing w:after="120"/>
      </w:pPr>
      <w:r>
        <w:t xml:space="preserve">Toll-free numbers don't use A2P 10DLC; they need their own verification before carriers deliver their SMS reliably.</w:t>
      </w:r>
    </w:p>
    <w:p>
      <w:pPr>
        <w:pStyle w:val="ListParagraph"/>
        <w:numPr>
          <w:ilvl w:val="0"/>
          <w:numId w:val="4"/>
        </w:numPr>
        <w:spacing w:after="60"/>
      </w:pPr>
      <w:r>
        <w:t xml:space="preserve">Buy a toll-free number (Section 3).</w:t>
      </w:r>
    </w:p>
    <w:p>
      <w:pPr>
        <w:pStyle w:val="ListParagraph"/>
        <w:numPr>
          <w:ilvl w:val="0"/>
          <w:numId w:val="4"/>
        </w:numPr>
        <w:spacing w:after="60"/>
      </w:pPr>
      <w:r>
        <w:t xml:space="preserve">Click </w:t>
      </w:r>
      <w:r>
        <w:rPr>
          <w:b/>
          <w:bCs/>
        </w:rPr>
        <w:t xml:space="preserve">Verify TF</w:t>
      </w:r>
      <w:r>
        <w:t xml:space="preserve"> on the number's row and submit the verification details (business info, use case, opt-in description, sample messages).</w:t>
      </w:r>
    </w:p>
    <w:p>
      <w:pPr>
        <w:pStyle w:val="ListParagraph"/>
        <w:numPr>
          <w:ilvl w:val="0"/>
          <w:numId w:val="4"/>
        </w:numPr>
        <w:spacing w:after="60"/>
      </w:pPr>
      <w:r>
        <w:t xml:space="preserve">Track the status on the number row and refresh as needed.</w:t>
      </w:r>
    </w:p>
    <w:p>
      <w:pPr>
        <w:pStyle w:val="Heading2"/>
        <w:spacing w:after="120" w:before="280"/>
      </w:pPr>
      <w:r>
        <w:t xml:space="preserve">5.1 Status meanings and common rejection reasons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8%"/>
            <w:shd w:fill="E8E4DA" w:val="clear"/>
            <w:tcMar>
              <w:top w:type="dxa" w:w="80"/>
              <w:left w:type="dxa" w:w="120"/>
              <w:bottom w:type="dxa" w:w="80"/>
              <w:right w:type="dxa" w:w="120"/>
            </w:tcMar>
          </w:tcPr>
          <w:p>
            <w:r>
              <w:rPr>
                <w:b/>
                <w:bCs/>
              </w:rPr>
              <w:t xml:space="preserve">Status</w:t>
            </w:r>
          </w:p>
        </w:tc>
        <w:tc>
          <w:tcPr>
            <w:tcW w:type="pct" w:w="72%"/>
            <w:shd w:fill="E8E4DA" w:val="clear"/>
            <w:tcMar>
              <w:top w:type="dxa" w:w="80"/>
              <w:left w:type="dxa" w:w="120"/>
              <w:bottom w:type="dxa" w:w="80"/>
              <w:right w:type="dxa" w:w="120"/>
            </w:tcMar>
          </w:tcPr>
          <w:p>
            <w:r>
              <w:rPr>
                <w:b/>
                <w:bCs/>
              </w:rPr>
              <w:t xml:space="preserve">Meaning</w:t>
            </w:r>
          </w:p>
        </w:tc>
      </w:tr>
      <w:tr>
        <w:tc>
          <w:tcPr>
            <w:tcW w:type="pct" w:w="28%"/>
            <w:tcMar>
              <w:top w:type="dxa" w:w="80"/>
              <w:left w:type="dxa" w:w="120"/>
              <w:bottom w:type="dxa" w:w="80"/>
              <w:right w:type="dxa" w:w="120"/>
            </w:tcMar>
          </w:tcPr>
          <w:p>
            <w:r>
              <w:rPr>
                <w:b w:val="false"/>
                <w:bCs w:val="false"/>
              </w:rPr>
              <w:t xml:space="preserve">PENDING_REVIEW</w:t>
            </w:r>
          </w:p>
        </w:tc>
        <w:tc>
          <w:tcPr>
            <w:tcW w:type="pct" w:w="72%"/>
            <w:tcMar>
              <w:top w:type="dxa" w:w="80"/>
              <w:left w:type="dxa" w:w="120"/>
              <w:bottom w:type="dxa" w:w="80"/>
              <w:right w:type="dxa" w:w="120"/>
            </w:tcMar>
          </w:tcPr>
          <w:p>
            <w:r>
              <w:rPr>
                <w:b w:val="false"/>
                <w:bCs w:val="false"/>
              </w:rPr>
              <w:t xml:space="preserve">Submitted; Twilio is reviewing. Typically a few business days.</w:t>
            </w:r>
          </w:p>
        </w:tc>
      </w:tr>
      <w:tr>
        <w:tc>
          <w:tcPr>
            <w:tcW w:type="pct" w:w="28%"/>
            <w:tcMar>
              <w:top w:type="dxa" w:w="80"/>
              <w:left w:type="dxa" w:w="120"/>
              <w:bottom w:type="dxa" w:w="80"/>
              <w:right w:type="dxa" w:w="120"/>
            </w:tcMar>
          </w:tcPr>
          <w:p>
            <w:r>
              <w:rPr>
                <w:b w:val="false"/>
                <w:bCs w:val="false"/>
              </w:rPr>
              <w:t xml:space="preserve">TWILIO_APPROVED</w:t>
            </w:r>
          </w:p>
        </w:tc>
        <w:tc>
          <w:tcPr>
            <w:tcW w:type="pct" w:w="72%"/>
            <w:tcMar>
              <w:top w:type="dxa" w:w="80"/>
              <w:left w:type="dxa" w:w="120"/>
              <w:bottom w:type="dxa" w:w="80"/>
              <w:right w:type="dxa" w:w="120"/>
            </w:tcMar>
          </w:tcPr>
          <w:p>
            <w:r>
              <w:rPr>
                <w:b w:val="false"/>
                <w:bCs w:val="false"/>
              </w:rPr>
              <w:t xml:space="preserve">Verified — full toll-free SMS deliverability.</w:t>
            </w:r>
          </w:p>
        </w:tc>
      </w:tr>
      <w:tr>
        <w:tc>
          <w:tcPr>
            <w:tcW w:type="pct" w:w="28%"/>
            <w:tcMar>
              <w:top w:type="dxa" w:w="80"/>
              <w:left w:type="dxa" w:w="120"/>
              <w:bottom w:type="dxa" w:w="80"/>
              <w:right w:type="dxa" w:w="120"/>
            </w:tcMar>
          </w:tcPr>
          <w:p>
            <w:r>
              <w:rPr>
                <w:b w:val="false"/>
                <w:bCs w:val="false"/>
              </w:rPr>
              <w:t xml:space="preserve">TWILIO_REJECTED</w:t>
            </w:r>
          </w:p>
        </w:tc>
        <w:tc>
          <w:tcPr>
            <w:tcW w:type="pct" w:w="72%"/>
            <w:tcMar>
              <w:top w:type="dxa" w:w="80"/>
              <w:left w:type="dxa" w:w="120"/>
              <w:bottom w:type="dxa" w:w="80"/>
              <w:right w:type="dxa" w:w="120"/>
            </w:tcMar>
          </w:tcPr>
          <w:p>
            <w:r>
              <w:rPr>
                <w:b w:val="false"/>
                <w:bCs w:val="false"/>
              </w:rPr>
              <w:t xml:space="preserve">Rejected — fix and resubmit.</w:t>
            </w:r>
          </w:p>
        </w:tc>
      </w:tr>
    </w:tbl>
    <w:p>
      <w:pPr>
        <w:spacing w:after="120"/>
      </w:pPr>
      <w:r>
        <w:rPr>
          <w:b/>
          <w:bCs/>
        </w:rPr>
        <w:t xml:space="preserve">Common rejection reasons:</w:t>
      </w:r>
    </w:p>
    <w:p>
      <w:pPr>
        <w:pStyle w:val="ListParagraph"/>
        <w:numPr>
          <w:ilvl w:val="0"/>
          <w:numId w:val="1"/>
        </w:numPr>
        <w:spacing w:after="60"/>
      </w:pPr>
      <w:r>
        <w:t xml:space="preserve">Opt-in description too vague, or the opt-in URL/flow doesn't clearly show consent language.</w:t>
      </w:r>
    </w:p>
    <w:p>
      <w:pPr>
        <w:pStyle w:val="ListParagraph"/>
        <w:numPr>
          <w:ilvl w:val="0"/>
          <w:numId w:val="1"/>
        </w:numPr>
        <w:spacing w:after="60"/>
      </w:pPr>
      <w:r>
        <w:t xml:space="preserve">Website missing, unreachable, or not matching the business name.</w:t>
      </w:r>
    </w:p>
    <w:p>
      <w:pPr>
        <w:pStyle w:val="ListParagraph"/>
        <w:numPr>
          <w:ilvl w:val="0"/>
          <w:numId w:val="1"/>
        </w:numPr>
        <w:spacing w:after="60"/>
      </w:pPr>
      <w:r>
        <w:t xml:space="preserve">Prohibited or high-risk content categories (e.g., cannabis, gambling, third-party debt collection).</w:t>
      </w:r>
    </w:p>
    <w:p>
      <w:pPr>
        <w:pStyle w:val="ListParagraph"/>
        <w:numPr>
          <w:ilvl w:val="0"/>
          <w:numId w:val="1"/>
        </w:numPr>
        <w:spacing w:after="60"/>
      </w:pPr>
      <w:r>
        <w:t xml:space="preserve">Sample messages that don't match the stated use case.</w:t>
      </w:r>
    </w:p>
    <w:p>
      <w:pPr>
        <w:pStyle w:val="Heading1"/>
        <w:spacing w:after="160" w:before="360"/>
      </w:pPr>
      <w:r>
        <w:t xml:space="preserve">6. Security notes</w:t>
      </w:r>
    </w:p>
    <w:p>
      <w:pPr>
        <w:pStyle w:val="ListParagraph"/>
        <w:numPr>
          <w:ilvl w:val="0"/>
          <w:numId w:val="1"/>
        </w:numPr>
        <w:spacing w:after="60"/>
      </w:pPr>
      <w:r>
        <w:t xml:space="preserve">Reply routing uses per-workspace aliases and per-conversation tokens; inbound webhooks are signature-verified and unknown addresses are silently dropped, never bounced.</w:t>
      </w:r>
    </w:p>
    <w:p>
      <w:pPr>
        <w:pStyle w:val="ListParagraph"/>
        <w:numPr>
          <w:ilvl w:val="0"/>
          <w:numId w:val="1"/>
        </w:numPr>
        <w:spacing w:after="60"/>
      </w:pPr>
      <w:r>
        <w:t xml:space="preserve">Only workspace owners and admins can connect accounts, buy/release numbers, or submit compliance registrations.</w:t>
      </w:r>
    </w:p>
    <w:p>
      <w:pPr>
        <w:pStyle w:val="ListParagraph"/>
        <w:numPr>
          <w:ilvl w:val="0"/>
          <w:numId w:val="1"/>
        </w:numPr>
        <w:spacing w:after="60"/>
      </w:pPr>
      <w:r>
        <w:rPr>
          <w:b/>
          <w:bCs/>
        </w:rPr>
        <w:t xml:space="preserve">Your EIN is never stored in Aligno's database</w:t>
      </w:r>
      <w:r>
        <w:t xml:space="preserve"> — it is passed to Twilio once during registration; Aligno keeps only the Twilio identifiers and non-sensitive business fields.</w:t>
      </w:r>
    </w:p>
    <w:p>
      <w:pPr>
        <w:pStyle w:val="ListParagraph"/>
        <w:numPr>
          <w:ilvl w:val="0"/>
          <w:numId w:val="1"/>
        </w:numPr>
        <w:spacing w:after="60"/>
      </w:pPr>
      <w:r>
        <w:t xml:space="preserve">Twilio status callbacks are signature-verified; unauthenticated requests are rejected.</w:t>
      </w:r>
    </w:p>
    <w:p>
      <w:pPr>
        <w:pStyle w:val="Heading1"/>
        <w:spacing w:after="160" w:before="360"/>
      </w:pPr>
      <w:r>
        <w:t xml:space="preserve">7.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shd w:fill="E8E4DA" w:val="clear"/>
            <w:tcMar>
              <w:top w:type="dxa" w:w="80"/>
              <w:left w:type="dxa" w:w="120"/>
              <w:bottom w:type="dxa" w:w="80"/>
              <w:right w:type="dxa" w:w="120"/>
            </w:tcMar>
          </w:tcPr>
          <w:p>
            <w:r>
              <w:rPr>
                <w:b/>
                <w:bCs/>
              </w:rPr>
              <w:t xml:space="preserve">Symptom</w:t>
            </w:r>
          </w:p>
        </w:tc>
        <w:tc>
          <w:tcPr>
            <w:tcW w:type="pct" w:w="62%"/>
            <w:shd w:fill="E8E4DA" w:val="clear"/>
            <w:tcMar>
              <w:top w:type="dxa" w:w="80"/>
              <w:left w:type="dxa" w:w="120"/>
              <w:bottom w:type="dxa" w:w="80"/>
              <w:right w:type="dxa" w:w="120"/>
            </w:tcMar>
          </w:tcPr>
          <w:p>
            <w:r>
              <w:rPr>
                <w:b/>
                <w:bCs/>
              </w:rPr>
              <w:t xml:space="preserve">Likely cause / fix</w:t>
            </w:r>
          </w:p>
        </w:tc>
      </w:tr>
      <w:tr>
        <w:tc>
          <w:tcPr>
            <w:tcW w:type="pct" w:w="38%"/>
            <w:tcMar>
              <w:top w:type="dxa" w:w="80"/>
              <w:left w:type="dxa" w:w="120"/>
              <w:bottom w:type="dxa" w:w="80"/>
              <w:right w:type="dxa" w:w="120"/>
            </w:tcMar>
          </w:tcPr>
          <w:p>
            <w:r>
              <w:rPr>
                <w:b w:val="false"/>
                <w:bCs w:val="false"/>
              </w:rPr>
              <w:t xml:space="preserve">A contact says they never got my email</w:t>
            </w:r>
          </w:p>
        </w:tc>
        <w:tc>
          <w:tcPr>
            <w:tcW w:type="pct" w:w="62%"/>
            <w:tcMar>
              <w:top w:type="dxa" w:w="80"/>
              <w:left w:type="dxa" w:w="120"/>
              <w:bottom w:type="dxa" w:w="80"/>
              <w:right w:type="dxa" w:w="120"/>
            </w:tcMar>
          </w:tcPr>
          <w:p>
            <w:r>
              <w:rPr>
                <w:b w:val="false"/>
                <w:bCs w:val="false"/>
              </w:rPr>
              <w:t xml:space="preserve">Check the suppression list (previous bounce/complaint) and campaign audience filters. Resend delivery events appear on the message timeline.</w:t>
            </w:r>
          </w:p>
        </w:tc>
      </w:tr>
      <w:tr>
        <w:tc>
          <w:tcPr>
            <w:tcW w:type="pct" w:w="38%"/>
            <w:tcMar>
              <w:top w:type="dxa" w:w="80"/>
              <w:left w:type="dxa" w:w="120"/>
              <w:bottom w:type="dxa" w:w="80"/>
              <w:right w:type="dxa" w:w="120"/>
            </w:tcMar>
          </w:tcPr>
          <w:p>
            <w:r>
              <w:rPr>
                <w:b w:val="false"/>
                <w:bCs w:val="false"/>
              </w:rPr>
              <w:t xml:space="preserve">A reply didn't show up in Conversations</w:t>
            </w:r>
          </w:p>
        </w:tc>
        <w:tc>
          <w:tcPr>
            <w:tcW w:type="pct" w:w="62%"/>
            <w:tcMar>
              <w:top w:type="dxa" w:w="80"/>
              <w:left w:type="dxa" w:w="120"/>
              <w:bottom w:type="dxa" w:w="80"/>
              <w:right w:type="dxa" w:w="120"/>
            </w:tcMar>
          </w:tcPr>
          <w:p>
            <w:r>
              <w:rPr>
                <w:b w:val="false"/>
                <w:bCs w:val="false"/>
              </w:rPr>
              <w:t xml:space="preserve">Confirm the contact replied to an Aligno-sent email (the reply address routes it). Replies to addresses outside Aligno aren't captured — mailbox sync is a future feature.</w:t>
            </w:r>
          </w:p>
        </w:tc>
      </w:tr>
      <w:tr>
        <w:tc>
          <w:tcPr>
            <w:tcW w:type="pct" w:w="38%"/>
            <w:tcMar>
              <w:top w:type="dxa" w:w="80"/>
              <w:left w:type="dxa" w:w="120"/>
              <w:bottom w:type="dxa" w:w="80"/>
              <w:right w:type="dxa" w:w="120"/>
            </w:tcMar>
          </w:tcPr>
          <w:p>
            <w:r>
              <w:rPr>
                <w:b w:val="false"/>
                <w:bCs w:val="false"/>
              </w:rPr>
              <w:t xml:space="preserve">SMS not delivered from a local number</w:t>
            </w:r>
          </w:p>
        </w:tc>
        <w:tc>
          <w:tcPr>
            <w:tcW w:type="pct" w:w="62%"/>
            <w:tcMar>
              <w:top w:type="dxa" w:w="80"/>
              <w:left w:type="dxa" w:w="120"/>
              <w:bottom w:type="dxa" w:w="80"/>
              <w:right w:type="dxa" w:w="120"/>
            </w:tcMar>
          </w:tcPr>
          <w:p>
            <w:r>
              <w:rPr>
                <w:b w:val="false"/>
                <w:bCs w:val="false"/>
              </w:rPr>
              <w:t xml:space="preserve">A2P registration not approved yet — check the compliance status. Carriers filter unregistered 10DLC traffic.</w:t>
            </w:r>
          </w:p>
        </w:tc>
      </w:tr>
      <w:tr>
        <w:tc>
          <w:tcPr>
            <w:tcW w:type="pct" w:w="38%"/>
            <w:tcMar>
              <w:top w:type="dxa" w:w="80"/>
              <w:left w:type="dxa" w:w="120"/>
              <w:bottom w:type="dxa" w:w="80"/>
              <w:right w:type="dxa" w:w="120"/>
            </w:tcMar>
          </w:tcPr>
          <w:p>
            <w:r>
              <w:rPr>
                <w:b w:val="false"/>
                <w:bCs w:val="false"/>
              </w:rPr>
              <w:t xml:space="preserve">SMS not delivered from a toll-free number</w:t>
            </w:r>
          </w:p>
        </w:tc>
        <w:tc>
          <w:tcPr>
            <w:tcW w:type="pct" w:w="62%"/>
            <w:tcMar>
              <w:top w:type="dxa" w:w="80"/>
              <w:left w:type="dxa" w:w="120"/>
              <w:bottom w:type="dxa" w:w="80"/>
              <w:right w:type="dxa" w:w="120"/>
            </w:tcMar>
          </w:tcPr>
          <w:p>
            <w:r>
              <w:rPr>
                <w:b w:val="false"/>
                <w:bCs w:val="false"/>
              </w:rPr>
              <w:t xml:space="preserve">Toll-free verification not approved — check the verification status on the number row.</w:t>
            </w:r>
          </w:p>
        </w:tc>
      </w:tr>
      <w:tr>
        <w:tc>
          <w:tcPr>
            <w:tcW w:type="pct" w:w="38%"/>
            <w:tcMar>
              <w:top w:type="dxa" w:w="80"/>
              <w:left w:type="dxa" w:w="120"/>
              <w:bottom w:type="dxa" w:w="80"/>
              <w:right w:type="dxa" w:w="120"/>
            </w:tcMar>
          </w:tcPr>
          <w:p>
            <w:r>
              <w:rPr>
                <w:b w:val="false"/>
                <w:bCs w:val="false"/>
              </w:rPr>
              <w:t xml:space="preserve">A2P shows rejected</w:t>
            </w:r>
          </w:p>
        </w:tc>
        <w:tc>
          <w:tcPr>
            <w:tcW w:type="pct" w:w="62%"/>
            <w:tcMar>
              <w:top w:type="dxa" w:w="80"/>
              <w:left w:type="dxa" w:w="120"/>
              <w:bottom w:type="dxa" w:w="80"/>
              <w:right w:type="dxa" w:w="120"/>
            </w:tcMar>
          </w:tcPr>
          <w:p>
            <w:r>
              <w:rPr>
                <w:b w:val="false"/>
                <w:bCs w:val="false"/>
              </w:rPr>
              <w:t xml:space="preserve">Most commonly the legal business name doesn't exactly match the EIN record. Correct and resubmit.</w:t>
            </w:r>
          </w:p>
        </w:tc>
      </w:tr>
      <w:tr>
        <w:tc>
          <w:tcPr>
            <w:tcW w:type="pct" w:w="38%"/>
            <w:tcMar>
              <w:top w:type="dxa" w:w="80"/>
              <w:left w:type="dxa" w:w="120"/>
              <w:bottom w:type="dxa" w:w="80"/>
              <w:right w:type="dxa" w:w="120"/>
            </w:tcMar>
          </w:tcPr>
          <w:p>
            <w:r>
              <w:rPr>
                <w:b w:val="false"/>
                <w:bCs w:val="false"/>
              </w:rPr>
              <w:t xml:space="preserve">Number purchase fails</w:t>
            </w:r>
          </w:p>
        </w:tc>
        <w:tc>
          <w:tcPr>
            <w:tcW w:type="pct" w:w="62%"/>
            <w:tcMar>
              <w:top w:type="dxa" w:w="80"/>
              <w:left w:type="dxa" w:w="120"/>
              <w:bottom w:type="dxa" w:w="80"/>
              <w:right w:type="dxa" w:w="120"/>
            </w:tcMar>
          </w:tcPr>
          <w:p>
            <w:r>
              <w:rPr>
                <w:b w:val="false"/>
                <w:bCs w:val="false"/>
              </w:rPr>
              <w:t xml:space="preserve">Twilio account issue (funds, geographic permissions) — check the Twilio console.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decimal"/>
      <w:lvlText w:val="%1."/>
      <w:lvlJc w:val="left"/>
      <w:pPr>
        <w:ind w:left="360" w:hanging="360"/>
      </w:pPr>
    </w:lvl>
  </w:abstractNum>
  <w:abstractNum w:abstractNumId="5" w15:restartNumberingAfterBreak="0">
    <w:multiLevelType w:val="hybridMultilevel"/>
    <w:lvl w:ilvl="0" w15:tentative="1">
      <w:start w:val="1"/>
      <w:numFmt w:val="decimal"/>
      <w:lvlText w:val="%1."/>
      <w:lvlJc w:val="left"/>
      <w:pPr>
        <w:ind w:left="360" w:hanging="360"/>
      </w:pPr>
    </w:lvl>
  </w:abstractNum>
  <w:abstractNum w:abstractNumId="6"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1F2A24"/>
      <w:sz w:val="32"/>
      <w:szCs w:val="32"/>
    </w:rPr>
  </w:style>
  <w:style w:type="paragraph" w:styleId="Heading2">
    <w:name w:val="Heading 2"/>
    <w:basedOn w:val="Normal"/>
    <w:next w:val="Normal"/>
    <w:qFormat/>
    <w:rPr>
      <w:b/>
      <w:bCs/>
      <w:color w:val="3A4A4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Aligno — Email &amp; SMS Setup User Manual</dc:title>
  <dc:creator>Aligno</dc:creator>
  <cp:lastModifiedBy>Un-named</cp:lastModifiedBy>
  <cp:revision>1</cp:revision>
  <dcterms:created xsi:type="dcterms:W3CDTF">2026-08-07T05:31:43.941Z</dcterms:created>
  <dcterms:modified xsi:type="dcterms:W3CDTF">2026-08-07T05:31:43.944Z</dcterms:modified>
</cp:coreProperties>
</file>

<file path=docProps/custom.xml><?xml version="1.0" encoding="utf-8"?>
<Properties xmlns="http://schemas.openxmlformats.org/officeDocument/2006/custom-properties" xmlns:vt="http://schemas.openxmlformats.org/officeDocument/2006/docPropsVTypes"/>
</file>