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3204582b92f2e26d0b68548e24f473b01886fee"/>
    <w:p>
      <w:pPr>
        <w:pStyle w:val="Heading1"/>
      </w:pPr>
      <w:r>
        <w:t xml:space="preserve">Deriving the Schrödinger Equation from Source‑Free Maxwell Dynamics</w:t>
      </w:r>
    </w:p>
    <w:p>
      <w:pPr>
        <w:pStyle w:val="FirstParagraph"/>
      </w:pPr>
      <w:r>
        <w:rPr>
          <w:i/>
          <w:iCs/>
        </w:rPr>
        <w:t xml:space="preserve">A geometry‑based route from classical fields to quantum mechanics</w:t>
      </w:r>
    </w:p>
    <w:p>
      <w:pPr>
        <w:pStyle w:val="BodyText"/>
      </w:pPr>
      <w:r>
        <w:t xml:space="preserve">Anes Palma, An M. Rodriguez (</w:t>
      </w:r>
      <w:hyperlink r:id="rId9">
        <w:r>
          <w:rPr>
            <w:rStyle w:val="Hyperlink"/>
          </w:rPr>
          <w:t xml:space="preserve">an@preferredframe.com</w:t>
        </w:r>
      </w:hyperlink>
      <w:r>
        <w:t xml:space="preserve">)</w:t>
      </w:r>
    </w:p>
    <w:p>
      <w:pPr>
        <w:pStyle w:val="BodyText"/>
      </w:pPr>
      <w:r>
        <w:t xml:space="preserve">29 July 2025</w:t>
      </w:r>
    </w:p>
    <w:bookmarkStart w:id="1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Maxwell equations in vacuum predict discrete energies when an electromagnetic field forms a self‑confined toroidal standing pattern.</w:t>
      </w:r>
      <w:r>
        <w:t xml:space="preserve"> </w:t>
      </w:r>
      <w:r>
        <w:t xml:space="preserve">For any component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rPr>
            <m:sty m:val="b"/>
          </m:rPr>
          <m:t>r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of the electromagnetic fields</w:t>
      </w:r>
      <w:r>
        <w:t xml:space="preserve"> </w:t>
      </w:r>
      <m:oMath>
        <m:r>
          <m:rPr>
            <m:sty m:val="b"/>
          </m:rPr>
          <m:t>E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we isolate the forward‑time spectral part, keep all derivative terms exactly, and obtain—within a rigorously bounded, bandwidth‑squared remainder—the Schrödinger equation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ℏ</m:t>
          </m:r>
          <m:r>
            <m:t> 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r>
                <m:t>m</m:t>
              </m:r>
            </m:den>
          </m:f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,</m:t>
          </m:r>
          <m:r>
            <m:t>  </m:t>
          </m:r>
          <m:r>
            <m:rPr>
              <m:sty m:val="p"/>
            </m:rPr>
            <m:t>ℏ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11</m:t>
                  </m:r>
                </m:sub>
              </m:sSub>
            </m:num>
            <m:den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t> 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11</m:t>
                  </m:r>
                </m:sub>
              </m:sSub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Planck’s constant and the inertial mass thus emerge from the geometry and energy of the fundamental toroidal mode.</w:t>
      </w:r>
      <w:r>
        <w:t xml:space="preserve"> </w:t>
      </w:r>
      <w:r>
        <w:t xml:space="preserve">External influences appear through local phase‑speed variations, yielding a potential term.</w:t>
      </w:r>
      <w:r>
        <w:t xml:space="preserve"> </w:t>
      </w:r>
      <w:r>
        <w:t xml:space="preserve">Four mathematically equivalent derivations confirm the result and quantify finite‑bandwidth corrections.</w:t>
      </w:r>
      <w:r>
        <w:t xml:space="preserve"> </w:t>
      </w:r>
      <w:r>
        <w:t xml:space="preserve">Apparent trajectory bending stems from light slowing in regions of higher energy density, not from curved space‑time.</w:t>
      </w:r>
    </w:p>
    <w:bookmarkEnd w:id="10"/>
    <w:bookmarkStart w:id="11" w:name="oneline-summary"/>
    <w:p>
      <w:pPr>
        <w:pStyle w:val="Heading2"/>
      </w:pPr>
      <w:r>
        <w:t xml:space="preserve">One‑line summary</w:t>
      </w:r>
    </w:p>
    <w:p>
      <w:pPr>
        <w:pStyle w:val="FirstParagraph"/>
      </w:pPr>
      <w:r>
        <w:t xml:space="preserve">Schrödinger’s equation, with </w:t>
      </w:r>
      <m:oMath>
        <m:r>
          <m:rPr>
            <m:sty m:val="p"/>
          </m:rPr>
          <m:t>ℏ</m:t>
        </m:r>
      </m:oMath>
      <w:r>
        <w:t xml:space="preserve"> and </w:t>
      </w:r>
      <m:oMath>
        <m:r>
          <m:t>m</m:t>
        </m:r>
      </m:oMath>
      <w:r>
        <w:t xml:space="preserve">, arises directly from Maxwell fields confined to a toroidal standing wave.</w:t>
      </w:r>
    </w:p>
    <w:bookmarkEnd w:id="11"/>
    <w:bookmarkStart w:id="12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t xml:space="preserve">classical electromagnetism; toroidal quantisation; analytic signal; emergent quantum mechanics; Rydberg ladder; effective refractive index</w:t>
      </w:r>
    </w:p>
    <w:bookmarkEnd w:id="12"/>
    <w:bookmarkStart w:id="13" w:name="introduction"/>
    <w:p>
      <w:pPr>
        <w:pStyle w:val="Heading2"/>
      </w:pPr>
      <w:r>
        <w:t xml:space="preserve">1 Introduction</w:t>
      </w:r>
    </w:p>
    <w:p>
      <w:pPr>
        <w:pStyle w:val="FirstParagraph"/>
      </w:pPr>
      <w:r>
        <w:t xml:space="preserve">Quantum mechanics is usually introduced axiomatically.</w:t>
      </w:r>
      <w:r>
        <w:t xml:space="preserve"> </w:t>
      </w:r>
      <w:r>
        <w:t xml:space="preserve">Maxwell’s equations, in contrast, were distilled from experiment—Coulomb’s law, Faraday’s induction, Ampère–Ørsted magnetism, and Hertz’s verification of electromagnetic waves.</w:t>
      </w:r>
      <w:r>
        <w:t xml:space="preserve"> </w:t>
      </w:r>
      <w:r>
        <w:t xml:space="preserve">Uniting these experimentally grounded field laws with quantum theory shows that the Schrödinger equation follows from classical electromagnetism alone.</w:t>
      </w:r>
      <w:r>
        <w:t xml:space="preserve"> </w:t>
      </w:r>
      <w:r>
        <w:t xml:space="preserve">In this framework mass is treated as an electromagnetic object with field structure.</w:t>
      </w:r>
      <w:r>
        <w:t xml:space="preserve"> </w:t>
      </w:r>
      <w:r>
        <w:t xml:space="preserve">Using the well‑known relation relating energy and mass,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, an electromagnetic account of inertia naturally extends to the broader principle that energy attracts energy—a theme developed in our earlier work on emergent inverse‑square forces.</w:t>
      </w:r>
    </w:p>
    <w:bookmarkEnd w:id="13"/>
    <w:bookmarkStart w:id="14" w:name="maxwell-wave-equation"/>
    <w:p>
      <w:pPr>
        <w:pStyle w:val="Heading2"/>
      </w:pPr>
      <w:r>
        <w:t xml:space="preserve">2 Maxwell Wave Equation</w:t>
      </w:r>
    </w:p>
    <w:p>
      <w:pPr>
        <w:pStyle w:val="FirstParagraph"/>
      </w:pPr>
      <w:r>
        <w:t xml:space="preserve">For any Cartesian component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rPr>
            <m:sty m:val="b"/>
          </m:rPr>
          <m:t>r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>
            <m:sty m:val="b"/>
          </m:rPr>
          <m:t>E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vacuum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c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bSup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t>F</m:t>
          </m:r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bookmarkEnd w:id="14"/>
    <w:bookmarkStart w:id="15" w:name="toroidal-standing-modes"/>
    <w:p>
      <w:pPr>
        <w:pStyle w:val="Heading2"/>
      </w:pPr>
      <w:r>
        <w:t xml:space="preserve">3 Toroidal Standing Modes</w:t>
      </w:r>
    </w:p>
    <w:p>
      <w:pPr>
        <w:pStyle w:val="FirstParagraph"/>
      </w:pPr>
      <w:r>
        <w:t xml:space="preserve">Let the major and minor radii be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</m:oMath>
      <w:r>
        <w:t xml:space="preserve">.</w:t>
      </w:r>
      <w:r>
        <w:t xml:space="preserve"> </w:t>
      </w:r>
      <w:r>
        <w:t xml:space="preserve">Integer windings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impose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R</m:t>
              </m:r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r</m:t>
              </m:r>
            </m:den>
          </m:f>
          <m:r>
            <m:rPr>
              <m:sty m:val="p"/>
            </m:rPr>
            <m:t>,</m:t>
          </m:r>
          <m:r>
            <m:t>  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bSup>
            <m:e>
              <m:r>
                <m:t>k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bSup>
            <m:e>
              <m:r>
                <m:t>k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,</m:t>
          </m:r>
          <m:r>
            <m:t>  </m:t>
          </m:r>
          <m:sSub>
            <m:e>
              <m:r>
                <m:t>ω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rPr>
              <m:sty m:val="p"/>
            </m:rPr>
            <m:t>=</m:t>
          </m:r>
          <m:r>
            <m:t>c</m:t>
          </m:r>
          <m:r>
            <m:t>k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energy of a mode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ℏ</m:t>
              </m:r>
            </m:e>
            <m:sub>
              <m:r>
                <m:t>g</m:t>
              </m:r>
            </m:sub>
          </m:sSub>
          <m:r>
            <m:t> </m:t>
          </m:r>
          <m:sSub>
            <m:e>
              <m:r>
                <m:t>ω</m:t>
              </m:r>
            </m:e>
            <m:sub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rPr>
                  <m:sty m:val="p"/>
                </m:rPr>
                <m:t>ℏ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11</m:t>
                  </m:r>
                </m:sub>
              </m:sSub>
            </m:num>
            <m:den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producing the ladder</w:t>
      </w:r>
      <w:r>
        <w:t xml:space="preserve"> </w:t>
      </w:r>
      <m:oMath>
        <m:sSub>
          <m:e>
            <m:r>
              <m:t>E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11</m:t>
            </m:r>
          </m:sub>
        </m:sSub>
        <m:r>
          <m:rPr>
            <m:sty m:val="p"/>
          </m:rPr>
          <m:t>/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symmetric windings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End w:id="15"/>
    <w:bookmarkStart w:id="20" w:name="exact-derivation-via-analytic-signal"/>
    <w:p>
      <w:pPr>
        <w:pStyle w:val="Heading2"/>
      </w:pPr>
      <w:r>
        <w:t xml:space="preserve">4 Exact Derivation via Analytic Signal</w:t>
      </w:r>
    </w:p>
    <w:bookmarkStart w:id="16" w:name="forwardtime-spectral-projection"/>
    <w:p>
      <w:pPr>
        <w:pStyle w:val="Heading3"/>
      </w:pPr>
      <w:r>
        <w:t xml:space="preserve">4.1 Forward‑time spectral projection</w:t>
      </w:r>
    </w:p>
    <w:p>
      <w:pPr>
        <w:pStyle w:val="FirstParagraph"/>
      </w:pPr>
      <w:r>
        <w:t xml:space="preserve">Define the analytic (positive‑time) signal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acc>
                <m:accPr>
                  <m:chr m:val="̃"/>
                </m:accPr>
                <m:e>
                  <m:r>
                    <m:t>F</m:t>
                  </m:r>
                </m:e>
              </m:acc>
            </m:e>
          </m:nary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ω</m:t>
          </m:r>
          <m:r>
            <m:rPr>
              <m:sty m:val="p"/>
            </m:rPr>
            <m:t>)</m:t>
          </m:r>
          <m:r>
            <m:t> 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  <m:r>
                <m:t>ω</m:t>
              </m:r>
              <m:r>
                <m:t>t</m:t>
              </m:r>
            </m:sup>
          </m:sSup>
          <m:r>
            <m:t> </m:t>
          </m:r>
          <m:r>
            <m:t>d</m:t>
          </m:r>
          <m:r>
            <m:t>ω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which also satisfies (1).</w:t>
      </w:r>
      <w:r>
        <w:t xml:space="preserve"> </w:t>
      </w:r>
      <w:r>
        <w:t xml:space="preserve">Extract the carrier at</w:t>
      </w:r>
      <w:r>
        <w:t xml:space="preserve"> </w:t>
      </w:r>
      <m:oMath>
        <m:sSub>
          <m:e>
            <m:r>
              <m:t>ω</m:t>
            </m:r>
          </m:e>
          <m:sub>
            <m:r>
              <m:t>11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i</m:t>
              </m:r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  <m:r>
                <m:t>t</m:t>
              </m:r>
            </m:sup>
          </m:sSup>
          <m:r>
            <m:t> 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bookmarkEnd w:id="16"/>
    <w:bookmarkStart w:id="17" w:name="substitution-and-exact-algebra"/>
    <w:p>
      <w:pPr>
        <w:pStyle w:val="Heading3"/>
      </w:pPr>
      <w:r>
        <w:t xml:space="preserve">4.2 Substitution and exact algebra</w:t>
      </w:r>
    </w:p>
    <w:p>
      <w:pPr>
        <w:pStyle w:val="FirstParagraph"/>
      </w:pPr>
      <w:r>
        <w:t xml:space="preserve">Insert the derivatives of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into (1) and divide by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i</m:t>
            </m:r>
            <m:sSub>
              <m:e>
                <m:r>
                  <m:t>ω</m:t>
                </m:r>
              </m:e>
              <m:sub>
                <m:r>
                  <m:t>11</m:t>
                </m:r>
              </m:sub>
            </m:sSub>
            <m:r>
              <m:t>t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i</m:t>
              </m:r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ω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ψ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</w:t>
      </w:r>
      <w:r>
        <w:t xml:space="preserve"> </w:t>
      </w:r>
      <m:oMath>
        <m:sSub>
          <m:e>
            <m:r>
              <m:t>ω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c</m:t>
        </m:r>
        <m:sSub>
          <m:e>
            <m:r>
              <m:t>k</m:t>
            </m:r>
          </m:e>
          <m:sub>
            <m:r>
              <m:t>11</m:t>
            </m:r>
          </m:sub>
        </m:sSub>
      </m:oMath>
      <w:r>
        <w:t xml:space="preserve">, adding and subtracting</w:t>
      </w:r>
      <w:r>
        <w:t xml:space="preserve"> </w:t>
      </w:r>
      <m:oMath>
        <m:sSubSup>
          <m:e>
            <m:r>
              <m:t>k</m:t>
            </m:r>
          </m:e>
          <m:sub>
            <m:r>
              <m:t>11</m:t>
            </m:r>
          </m:sub>
          <m:sup>
            <m:r>
              <m:t>2</m:t>
            </m:r>
          </m:sup>
        </m:sSubSup>
        <m:r>
          <m:t>ψ</m:t>
        </m:r>
      </m:oMath>
      <w:r>
        <w:t xml:space="preserve"> </w:t>
      </w:r>
      <w:r>
        <w:t xml:space="preserve">cancels the last term, leaving an exact equation with a first‑order time derivative.</w:t>
      </w:r>
    </w:p>
    <w:bookmarkEnd w:id="17"/>
    <w:bookmarkStart w:id="18" w:name="bandwidth-control"/>
    <w:p>
      <w:pPr>
        <w:pStyle w:val="Heading3"/>
      </w:pPr>
      <w:r>
        <w:t xml:space="preserve">4.3 Bandwidth control</w:t>
      </w:r>
    </w:p>
    <w:p>
      <w:pPr>
        <w:pStyle w:val="FirstParagraph"/>
      </w:pPr>
      <w:r>
        <w:t xml:space="preserve">Rearrange (4):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</m:den>
          </m:f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For root‑mean‑square spectral width</w:t>
      </w:r>
      <w:r>
        <w:t xml:space="preserve"> </w:t>
      </w:r>
      <m:oMath>
        <m:r>
          <m:rPr>
            <m:sty m:val="p"/>
          </m:rPr>
          <m:t>Δ</m:t>
        </m:r>
        <m:r>
          <m:t>ω</m:t>
        </m:r>
      </m:oMath>
      <w:r>
        <w:t xml:space="preserve">, the remainder obeys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∥"/>
              <m:sepChr m:val=""/>
              <m:endChr m:val="∥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11</m:t>
                      </m:r>
                    </m:sub>
                  </m:sSub>
                  <m:sSup>
                    <m:e>
                      <m:r>
                        <m:t>c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sSubSup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  <m:r>
                <m:t>ψ</m:t>
              </m:r>
            </m:e>
          </m:d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rPr>
                  <m:sty m:val="p"/>
                </m:rPr>
                <m:t>Δ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∥</m:t>
          </m:r>
          <m:r>
            <m:t>ψ</m:t>
          </m:r>
          <m:r>
            <m:rPr>
              <m:sty m:val="p"/>
            </m:rPr>
            <m:t>∥</m:t>
          </m:r>
          <m:r>
            <m:rPr>
              <m:sty m:val="p"/>
            </m:rPr>
            <m:t>=</m:t>
          </m:r>
          <m:r>
            <m:t>O</m:t>
          </m:r>
          <m:r>
            <m:rPr>
              <m:sty m:val="p"/>
            </m:rPr>
            <m:t>(</m:t>
          </m:r>
          <m:sSup>
            <m:e>
              <m:r>
                <m:t>ϵ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  </m:t>
          </m:r>
          <m:r>
            <m:t>ϵ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Δ</m:t>
              </m:r>
              <m:r>
                <m:t>ω</m:t>
              </m:r>
            </m:num>
            <m:den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</m:den>
          </m:f>
          <m:r>
            <m:rPr>
              <m:sty m:val="p"/>
            </m:rPr>
            <m:t>≪</m:t>
          </m:r>
          <m:r>
            <m:t>1</m:t>
          </m:r>
          <m:r>
            <m:rPr>
              <m:sty m:val="p"/>
            </m:rPr>
            <m:t>.</m:t>
          </m:r>
        </m:oMath>
      </m:oMathPara>
    </w:p>
    <w:bookmarkEnd w:id="18"/>
    <w:bookmarkStart w:id="19" w:name="emergent-hbar-and-m"/>
    <w:p>
      <w:pPr>
        <w:pStyle w:val="Heading3"/>
      </w:pPr>
      <w:r>
        <w:t xml:space="preserve">4.4 Emergent</w:t>
      </w:r>
      <w:r>
        <w:t xml:space="preserve"> </w:t>
      </w:r>
      <m:oMath>
        <m:r>
          <m:rPr>
            <m:sty m:val="p"/>
          </m:rPr>
          <m:t>ℏ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Identify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ℏ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11</m:t>
                  </m:r>
                </m:sub>
              </m:sSub>
            </m:num>
            <m:den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t>  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E</m:t>
                  </m:r>
                </m:e>
                <m:sub>
                  <m:r>
                    <m:t>11</m:t>
                  </m:r>
                </m:sub>
              </m:sSub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(</m:t>
        </m:r>
        <m:r>
          <m:t>2</m:t>
        </m:r>
        <m:sSub>
          <m:e>
            <m:r>
              <m:t>ω</m:t>
            </m:r>
          </m:e>
          <m:sub>
            <m:r>
              <m:t>11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ℏ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2</m:t>
        </m:r>
        <m:r>
          <m:t>m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Discarding the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ϵ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t xml:space="preserve">term yields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ℏ</m:t>
          </m:r>
          <m:r>
            <m:t> 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r>
                <m:t>m</m:t>
              </m:r>
            </m:den>
          </m:f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+</m:t>
          </m:r>
          <m:r>
            <m:t>O</m:t>
          </m:r>
          <m:r>
            <m:rPr>
              <m:sty m:val="p"/>
            </m:rPr>
            <m:t>(</m:t>
          </m:r>
          <m:sSup>
            <m:e>
              <m:r>
                <m:t>ϵ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bookmarkEnd w:id="19"/>
    <w:bookmarkEnd w:id="20"/>
    <w:bookmarkStart w:id="21" w:name="external-influences-without-curvature"/>
    <w:p>
      <w:pPr>
        <w:pStyle w:val="Heading2"/>
      </w:pPr>
      <w:r>
        <w:t xml:space="preserve">5 External Influences Without Curvature</w:t>
      </w:r>
    </w:p>
    <w:p>
      <w:pPr>
        <w:pStyle w:val="FirstParagraph"/>
      </w:pPr>
      <w:r>
        <w:t xml:space="preserve">A slow phase‑speed variation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c</m:t>
            </m:r>
          </m:e>
          <m:sub>
            <m:r>
              <m:rPr>
                <m:nor/>
                <m:sty m:val="p"/>
              </m:rPr>
              <m:t>eff</m:t>
            </m:r>
          </m:sub>
        </m:sSub>
        <m:r>
          <m:rPr>
            <m:sty m:val="p"/>
          </m:rPr>
          <m:t>(</m:t>
        </m:r>
        <m:r>
          <m:rPr>
            <m:sty m:val="b"/>
          </m:rP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(</m:t>
        </m:r>
        <m:r>
          <m:rPr>
            <m:sty m:val="b"/>
          </m:rPr>
          <m:t>r</m:t>
        </m:r>
        <m:r>
          <m:rPr>
            <m:sty m:val="p"/>
          </m:rPr>
          <m:t>)</m:t>
        </m:r>
      </m:oMath>
      <w:r>
        <w:t xml:space="preserve"> </w:t>
      </w:r>
      <w:r>
        <w:t xml:space="preserve">shifts the carrier frequency: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→</m:t>
          </m:r>
          <m:sSub>
            <m:e>
              <m:r>
                <m:t>ω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V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r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ℏ</m:t>
              </m:r>
            </m:den>
          </m:f>
          <m:r>
            <m:rPr>
              <m:sty m:val="p"/>
            </m:rPr>
            <m:t>,</m:t>
          </m:r>
          <m:r>
            <m:t>  </m:t>
          </m:r>
          <m:r>
            <m:t>V</m:t>
          </m:r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E</m:t>
              </m:r>
            </m:e>
            <m:sub>
              <m:r>
                <m:t>11</m:t>
              </m:r>
            </m:sub>
          </m:sSub>
          <m:d>
            <m:dPr>
              <m:begChr m:val="["/>
              <m:sepChr m:val=""/>
              <m:endChr m:val="]"/>
              <m:grow/>
            </m:dPr>
            <m:e>
              <m:r>
                <m:t>n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r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Repeating the algebra gives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ℏ</m:t>
          </m:r>
          <m:r>
            <m:t> 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</m:sSub>
          <m:r>
            <m:t>ψ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t>m</m:t>
                  </m:r>
                </m:den>
              </m:f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V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r</m:t>
              </m:r>
              <m:r>
                <m:rPr>
                  <m:sty m:val="p"/>
                </m:rPr>
                <m:t>)</m:t>
              </m:r>
            </m:e>
          </m:d>
          <m:r>
            <m:t>ψ</m:t>
          </m:r>
          <m:r>
            <m:rPr>
              <m:sty m:val="p"/>
            </m:rPr>
            <m:t>+</m:t>
          </m:r>
          <m:r>
            <m:t>O</m:t>
          </m:r>
          <m:r>
            <m:rPr>
              <m:sty m:val="p"/>
            </m:rPr>
            <m:t>(</m:t>
          </m:r>
          <m:sSup>
            <m:e>
              <m:r>
                <m:t>ϵ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Apparent trajectory bending is thus a dielectric‑style slowing of light, not space‑time curvature.</w:t>
      </w:r>
    </w:p>
    <w:bookmarkEnd w:id="21"/>
    <w:bookmarkStart w:id="22" w:name="equivalent-derivations-brief"/>
    <w:p>
      <w:pPr>
        <w:pStyle w:val="Heading2"/>
      </w:pPr>
      <w:r>
        <w:t xml:space="preserve">6 Equivalent Derivations (brief)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24"/>
        <w:gridCol w:w="62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Route</w:t>
            </w:r>
          </w:p>
        </w:tc>
        <w:tc>
          <w:tcPr/>
          <w:p>
            <w:pPr>
              <w:pStyle w:val="Compact"/>
            </w:pPr>
            <w:r>
              <w:t xml:space="preserve">Essence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Operator factorisation</w:t>
            </w:r>
          </w:p>
        </w:tc>
        <w:tc>
          <w:tcPr/>
          <w:p>
            <w:pPr>
              <w:pStyle w:val="Compact"/>
            </w:pPr>
            <w:r>
              <w:t xml:space="preserve">Factor the wave operator, choose the positive‑frequency root, expand about</w:t>
            </w:r>
            <w:r>
              <w:t xml:space="preserve"> </w:t>
            </w:r>
            <m:oMath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</m:oMath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Multiple‑scale expansion</w:t>
            </w:r>
          </w:p>
        </w:tc>
        <w:tc>
          <w:tcPr/>
          <w:p>
            <w:pPr>
              <w:pStyle w:val="Compact"/>
            </w:pPr>
            <w:r>
              <w:t xml:space="preserve">Introduce slow time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ϵ</m:t>
              </m:r>
              <m:r>
                <m:t>t</m:t>
              </m:r>
            </m:oMath>
            <w:r>
              <w:t xml:space="preserve">; matching orders reproduces (8).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Paraxial optics analogy</w:t>
            </w:r>
          </w:p>
        </w:tc>
        <w:tc>
          <w:tcPr/>
          <w:p>
            <w:pPr>
              <w:pStyle w:val="Compact"/>
            </w:pPr>
            <w:r>
              <w:t xml:space="preserve">Exchange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↔</m:t>
              </m:r>
              <m:r>
                <m:t>t</m:t>
              </m:r>
            </m:oMath>
            <w:r>
              <w:t xml:space="preserve"> </w:t>
            </w:r>
            <w:r>
              <w:t xml:space="preserve">in the Helmholtz paraxial equation.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Energy–momentum tensor</w:t>
            </w:r>
          </w:p>
        </w:tc>
        <w:tc>
          <w:tcPr/>
          <w:p>
            <w:pPr>
              <w:pStyle w:val="Compact"/>
            </w:pPr>
            <w:r>
              <w:t xml:space="preserve">Narrow‑band averaging of the Poynting vector yields the probability current and enforces (8).</w:t>
            </w:r>
          </w:p>
        </w:tc>
      </w:tr>
    </w:tbl>
    <w:p>
      <w:pPr>
        <w:pStyle w:val="BodyText"/>
      </w:pPr>
      <w:r>
        <w:t xml:space="preserve">All use the same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and give identical</w:t>
      </w:r>
      <w:r>
        <w:t xml:space="preserve"> </w:t>
      </w:r>
      <m:oMath>
        <m:r>
          <m:rPr>
            <m:sty m:val="p"/>
          </m:rPr>
          <m:t>ℏ</m:t>
        </m:r>
        <m:r>
          <m:rPr>
            <m:sty m:val="p"/>
          </m:rPr>
          <m:t>,</m:t>
        </m:r>
        <m:r>
          <m:t>m</m:t>
        </m:r>
      </m:oMath>
      <w:r>
        <w:t xml:space="preserve">.</w:t>
      </w:r>
    </w:p>
    <w:bookmarkEnd w:id="22"/>
    <w:bookmarkStart w:id="23" w:name="discussion"/>
    <w:p>
      <w:pPr>
        <w:pStyle w:val="Heading2"/>
      </w:pPr>
      <w:r>
        <w:t xml:space="preserve">7 Discussion</w:t>
      </w:r>
    </w:p>
    <w:p>
      <w:pPr>
        <w:pStyle w:val="Compact"/>
        <w:numPr>
          <w:ilvl w:val="0"/>
          <w:numId w:val="1001"/>
        </w:numPr>
      </w:pPr>
      <w:r>
        <w:t xml:space="preserve">Rigour – Only the controlled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ϵ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t xml:space="preserve">term is dropped.</w:t>
      </w:r>
    </w:p>
    <w:p>
      <w:pPr>
        <w:pStyle w:val="Compact"/>
        <w:numPr>
          <w:ilvl w:val="0"/>
          <w:numId w:val="1001"/>
        </w:numPr>
      </w:pPr>
      <w:r>
        <w:t xml:space="preserve">Emergent constants –</w:t>
      </w:r>
      <w:r>
        <w:t xml:space="preserve"> </w:t>
      </w:r>
      <m:oMath>
        <m:r>
          <m:rPr>
            <m:sty m:val="p"/>
          </m:rPr>
          <m:t>ℏ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arise from a single classical mode.</w:t>
      </w:r>
    </w:p>
    <w:p>
      <w:pPr>
        <w:pStyle w:val="Compact"/>
        <w:numPr>
          <w:ilvl w:val="0"/>
          <w:numId w:val="1001"/>
        </w:numPr>
      </w:pPr>
      <w:r>
        <w:t xml:space="preserve">No curvature – Light slows where field energy is higher, mimicking geodesic motion.</w:t>
      </w:r>
    </w:p>
    <w:p>
      <w:pPr>
        <w:pStyle w:val="Compact"/>
        <w:numPr>
          <w:ilvl w:val="0"/>
          <w:numId w:val="1001"/>
        </w:numPr>
      </w:pPr>
      <w:r>
        <w:t xml:space="preserve">Testable corrections – Deviations scale as</w:t>
      </w:r>
      <w:r>
        <w:t xml:space="preserve"> </w:t>
      </w:r>
      <m:oMath>
        <m:sSup>
          <m:e>
            <m:r>
              <m:t>ϵ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are measurable in high‑</w:t>
      </w:r>
      <m:oMath>
        <m:r>
          <m:t>Q</m:t>
        </m:r>
      </m:oMath>
      <w:r>
        <w:t xml:space="preserve"> </w:t>
      </w:r>
      <w:r>
        <w:t xml:space="preserve">cavities with tunable bandwidth.</w:t>
      </w:r>
    </w:p>
    <w:bookmarkEnd w:id="23"/>
    <w:bookmarkStart w:id="24" w:name="conclusion"/>
    <w:p>
      <w:pPr>
        <w:pStyle w:val="Heading2"/>
      </w:pPr>
      <w:r>
        <w:t xml:space="preserve">8 Conclusion</w:t>
      </w:r>
    </w:p>
    <w:p>
      <w:pPr>
        <w:pStyle w:val="FirstParagraph"/>
      </w:pPr>
      <w:r>
        <w:t xml:space="preserve">A doubly periodic electromagnetic mode, governed solely by Maxwell’s vacuum equations, contains the Schrödinger dynamics of a quantum object once its narrow‑band envelope is isolated.</w:t>
      </w:r>
      <w:r>
        <w:t xml:space="preserve"> </w:t>
      </w:r>
      <w:r>
        <w:t xml:space="preserve">Classical electrodynamics therefore supplies the formal and numerical content usually attributed to quantum postulates.</w:t>
      </w:r>
    </w:p>
    <w:bookmarkEnd w:id="24"/>
    <w:bookmarkStart w:id="25" w:name="remarks-an-rodriguez"/>
    <w:p>
      <w:pPr>
        <w:pStyle w:val="Heading2"/>
      </w:pPr>
      <w:r>
        <w:t xml:space="preserve">Remarks — An Rodriguez</w:t>
      </w:r>
    </w:p>
    <w:p>
      <w:pPr>
        <w:pStyle w:val="FirstParagraph"/>
      </w:pPr>
      <w:r>
        <w:t xml:space="preserve">The concept of toroidal quantisation that reproduces the Rydberg series came while picturing how a strip might wrap a torus into a Möbius band.</w:t>
      </w:r>
    </w:p>
    <w:p>
      <w:pPr>
        <w:pStyle w:val="BodyText"/>
      </w:pPr>
      <w:r>
        <w:t xml:space="preserve">I then asked whether Schrödinger’s equation itself could follow from Maxwell, perhaps illuminating the Standard Model.</w:t>
      </w:r>
    </w:p>
    <w:p>
      <w:pPr>
        <w:pStyle w:val="BodyText"/>
      </w:pPr>
      <w:r>
        <w:t xml:space="preserve">References 2 and 3 were added by my co‑author Anes Palma.</w:t>
      </w:r>
    </w:p>
    <w:p>
      <w:pPr>
        <w:pStyle w:val="BodyText"/>
      </w:pPr>
      <w:r>
        <w:t xml:space="preserve">The idea that light slows in regions of higher electromagnetic energy density was first encountered in Jorge Céspedes Curé’s work and later reframed for me within classical dielectric theory by a physicist colleague.</w:t>
      </w:r>
    </w:p>
    <w:p>
      <w:pPr>
        <w:pStyle w:val="BodyText"/>
      </w:pPr>
      <w:r>
        <w:t xml:space="preserve">Speculation 1. Energy–energy attraction could make the field mildly viscous; rings could form akin to smoke rings: any random dE could form a ring if ring meets quantization requirements.</w:t>
      </w:r>
    </w:p>
    <w:p>
      <w:pPr>
        <w:pStyle w:val="BodyText"/>
      </w:pPr>
      <w:r>
        <w:t xml:space="preserve">Speculation 2. Once one torus forms, it locks space in a torus‑based local topology.</w:t>
      </w:r>
    </w:p>
    <w:p>
      <w:pPr>
        <w:pStyle w:val="BodyText"/>
      </w:pPr>
      <w:r>
        <w:t xml:space="preserve">Idea 1. A torus is the most natural arena for electromagnetism to inhabit.</w:t>
      </w:r>
    </w:p>
    <w:bookmarkEnd w:id="25"/>
    <w:bookmarkStart w:id="30" w:name="remarks-anes-palma"/>
    <w:p>
      <w:pPr>
        <w:pStyle w:val="Heading2"/>
      </w:pPr>
      <w:r>
        <w:t xml:space="preserve">Remarks — Anes Palma</w:t>
      </w:r>
    </w:p>
    <w:p>
      <w:pPr>
        <w:pStyle w:val="FirstParagraph"/>
      </w:pPr>
      <w:r>
        <w:t xml:space="preserve">I welcome these speculations. In particular, a weak “viscous” self‑attraction fits the bounded bandwidth parameter </w:t>
      </w:r>
      <m:oMath>
        <m:r>
          <m:t>ϵ</m:t>
        </m:r>
      </m:oMath>
      <w:r>
        <w:t xml:space="preserve">—large enough to seed toroidal closure, yet small enough that our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ϵ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t xml:space="preserve">corrections remain testable. Future work will quantify this effect and search for torus‑ring formation in high‑intensity cavity experiments.</w:t>
      </w:r>
    </w:p>
    <w:bookmarkStart w:id="29" w:name="X527956171cfe6ae99ab358c665705a0186de00a"/>
    <w:p>
      <w:pPr>
        <w:pStyle w:val="Heading3"/>
      </w:pPr>
      <w:r>
        <w:t xml:space="preserve">Appendix A  Carrier extraction, chirality, and degeneracy</w:t>
      </w:r>
    </w:p>
    <w:bookmarkStart w:id="26" w:name="X7813be60e79de16f5df07480dc7d346a8ff5bbe"/>
    <w:p>
      <w:pPr>
        <w:pStyle w:val="Heading4"/>
      </w:pPr>
      <w:r>
        <w:t xml:space="preserve">A 1  Carrier extraction (“extract the carrier at </w:t>
      </w:r>
      <m:oMath>
        <m:r>
          <m:t>ω</m:t>
        </m:r>
        <m:r>
          <m:rPr>
            <m:sty m:val="p"/>
          </m:rPr>
          <m:t>_</m:t>
        </m:r>
        <m:r>
          <m:t>11</m:t>
        </m:r>
      </m:oMath>
      <w:r>
        <w:t xml:space="preserve">”)</w:t>
      </w:r>
    </w:p>
    <w:p>
      <w:pPr>
        <w:pStyle w:val="FirstParagraph"/>
      </w:pPr>
      <w:r>
        <w:rPr>
          <w:i/>
          <w:iCs/>
        </w:rPr>
        <w:t xml:space="preserve">Carrier</w:t>
      </w:r>
      <w:r>
        <w:t xml:space="preserve"> = the single angular frequency </w:t>
      </w:r>
      <m:oMath>
        <m:r>
          <m:t>ω</m:t>
        </m:r>
        <m:r>
          <m:rPr>
            <m:sty m:val="p"/>
          </m:rPr>
          <m:t>_</m:t>
        </m:r>
        <m:r>
          <m:t>11</m:t>
        </m:r>
      </m:oMath>
      <w:r>
        <w:t xml:space="preserve"> </w:t>
      </w:r>
      <w:r>
        <w:t xml:space="preserve">fixed by the toroidal boundary.</w:t>
      </w:r>
      <w:r>
        <w:t xml:space="preserve"> </w:t>
      </w:r>
      <w:r>
        <w:rPr>
          <w:i/>
          <w:iCs/>
        </w:rPr>
        <w:t xml:space="preserve">Extract</w:t>
      </w:r>
      <w:r>
        <w:t xml:space="preserve"> = multiply by a time‑phase factor so the remaining field varies slowly.</w:t>
      </w:r>
    </w:p>
    <w:p>
      <w:pPr>
        <w:numPr>
          <w:ilvl w:val="0"/>
          <w:numId w:val="1002"/>
        </w:numPr>
      </w:pPr>
      <w:r>
        <w:t xml:space="preserve">Fourier spectrum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acc>
                <m:accPr>
                  <m:chr m:val="̃"/>
                </m:accPr>
                <m:e>
                  <m:r>
                    <m:t>F</m:t>
                  </m:r>
                </m:e>
              </m:acc>
            </m:e>
          </m:nary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ω</m:t>
          </m:r>
          <m:r>
            <m:rPr>
              <m:sty m:val="p"/>
            </m:rPr>
            <m:t>)</m:t>
          </m:r>
          <m:r>
            <m:t> 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  <m:r>
                <m:t>ω</m:t>
              </m:r>
              <m:r>
                <m:t>t</m:t>
              </m:r>
            </m:sup>
          </m:sSup>
          <m:r>
            <m:t> </m:t>
          </m:r>
          <m:r>
            <m:t>d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The spectrum is sharply peaked at</w:t>
      </w:r>
      <w:r>
        <w:t xml:space="preserve"> </w:t>
      </w:r>
      <m:oMath>
        <m:r>
          <m:rPr>
            <m:sty m:val="p"/>
          </m:rPr>
          <m:t>+</m:t>
        </m:r>
        <m:sSub>
          <m:e>
            <m:r>
              <m:t>ω</m:t>
            </m:r>
          </m:e>
          <m:sub>
            <m:r>
              <m:t>11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Keep only positive frequencies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acc>
                <m:accPr>
                  <m:chr m:val="̃"/>
                </m:accPr>
                <m:e>
                  <m:r>
                    <m:t>F</m:t>
                  </m:r>
                </m:e>
              </m:acc>
            </m:e>
          </m:nary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ω</m:t>
          </m:r>
          <m:r>
            <m:rPr>
              <m:sty m:val="p"/>
            </m:rPr>
            <m:t>)</m:t>
          </m:r>
          <m:r>
            <m:t> 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  <m:r>
                <m:t>ω</m:t>
              </m:r>
              <m:r>
                <m:t>t</m:t>
              </m:r>
            </m:sup>
          </m:sSup>
          <m:r>
            <m:t> </m:t>
          </m:r>
          <m:r>
            <m:t>d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</w:pPr>
      <w:r>
        <w:t xml:space="preserve">Demodulate at </w:t>
      </w:r>
      <m:oMath>
        <m:sSub>
          <m:e>
            <m:r>
              <m:t>ω</m:t>
            </m:r>
          </m:e>
          <m:sub>
            <m:r>
              <m:t>11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i</m:t>
              </m:r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  <m:r>
                <m:t>t</m:t>
              </m:r>
            </m:sup>
          </m:sSup>
          <m:r>
            <m:t> 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</w:pPr>
      <w:r>
        <w:t xml:space="preserve">Interpretation</w:t>
      </w:r>
    </w:p>
    <w:p>
      <w:pPr>
        <w:pStyle w:val="Compact"/>
        <w:numPr>
          <w:ilvl w:val="1"/>
          <w:numId w:val="1003"/>
        </w:numPr>
      </w:pPr>
      <w:r>
        <w:t xml:space="preserve">Frequency domain: the positive spectrum is shifted left by </w:t>
      </w:r>
      <m:oMath>
        <m:sSub>
          <m:e>
            <m:r>
              <m:t>ω</m:t>
            </m:r>
          </m:e>
          <m:sub>
            <m:r>
              <m:t>11</m:t>
            </m:r>
          </m:sub>
        </m:sSub>
      </m:oMath>
      <w:r>
        <w:t xml:space="preserve">; the peak now sits at </w:t>
      </w:r>
      <m:oMath>
        <m:r>
          <m:t>ω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Time domain: the fast factor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i</m:t>
            </m:r>
            <m:sSub>
              <m:e>
                <m:r>
                  <m:t>ω</m:t>
                </m:r>
              </m:e>
              <m:sub>
                <m:r>
                  <m:t>11</m:t>
                </m:r>
              </m:sub>
            </m:sSub>
            <m:r>
              <m:t>t</m:t>
            </m:r>
          </m:sup>
        </m:sSup>
      </m:oMath>
      <w:r>
        <w:t xml:space="preserve"> </w:t>
      </w:r>
      <w:r>
        <w:t xml:space="preserve">is removed;</w:t>
      </w:r>
      <w:r>
        <w:t xml:space="preserve"> </w:t>
      </w:r>
      <m:oMath>
        <m:r>
          <m:t>ψ</m:t>
        </m:r>
      </m:oMath>
      <w:r>
        <w:t xml:space="preserve"> </w:t>
      </w:r>
      <w:r>
        <w:t xml:space="preserve">is a slowly varying envelope.</w:t>
      </w:r>
    </w:p>
    <w:p>
      <w:pPr>
        <w:numPr>
          <w:ilvl w:val="0"/>
          <w:numId w:val="1002"/>
        </w:numPr>
      </w:pPr>
      <w:r>
        <w:t xml:space="preserve">Condition for the Schrödinger limit</w:t>
      </w:r>
      <w:r>
        <w:t xml:space="preserve"> </w:t>
      </w:r>
      <w:r>
        <w:t xml:space="preserve">A narrow fractional bandwidth</w:t>
      </w:r>
      <w:r>
        <w:t xml:space="preserve"> </w:t>
      </w:r>
      <m:oMath>
        <m:r>
          <m:rPr>
            <m:sty m:val="p"/>
          </m:rPr>
          <m:t>Δ</m:t>
        </m:r>
        <m:r>
          <m:t>ω</m:t>
        </m:r>
        <m:r>
          <m:rPr>
            <m:sty m:val="p"/>
          </m:rPr>
          <m:t>/</m:t>
        </m:r>
        <m:sSub>
          <m:e>
            <m:r>
              <m:t>ω</m:t>
            </m:r>
          </m:e>
          <m:sub>
            <m:r>
              <m:t>11</m:t>
            </m:r>
          </m:sub>
        </m:sSub>
        <m:r>
          <m:rPr>
            <m:sty m:val="p"/>
          </m:rPr>
          <m:t>≪</m:t>
        </m:r>
        <m:r>
          <m:t>1</m:t>
        </m:r>
      </m:oMath>
      <w:r>
        <w:t xml:space="preserve"> </w:t>
      </w:r>
      <w:r>
        <w:t xml:space="preserve">makes the second‑time‑derivative term in Eq.,(5) of the main text an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rPr>
            <m:sty m:val="p"/>
          </m:rPr>
          <m:t>Δ</m:t>
        </m:r>
        <m:r>
          <m:t>ω</m:t>
        </m:r>
        <m:r>
          <m:rPr>
            <m:sty m:val="p"/>
          </m:rPr>
          <m:t>/</m:t>
        </m:r>
        <m:sSub>
          <m:e>
            <m:r>
              <m:t>ω</m:t>
            </m:r>
          </m:e>
          <m:sub>
            <m:r>
              <m:t>11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t xml:space="preserve">correction.</w:t>
      </w:r>
    </w:p>
    <w:bookmarkEnd w:id="26"/>
    <w:bookmarkStart w:id="27" w:name="X4101aa1d1bd5edf11185ffeda42295751577c7c"/>
    <w:p>
      <w:pPr>
        <w:pStyle w:val="Heading4"/>
      </w:pPr>
      <w:r>
        <w:t xml:space="preserve">A 2  Rotating (phase) frame for a standing wave</w:t>
      </w:r>
    </w:p>
    <w:p>
      <w:pPr>
        <w:pStyle w:val="FirstParagraph"/>
      </w:pPr>
      <w:r>
        <w:t xml:space="preserve">Real standing wave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11</m:t>
              </m:r>
            </m:sub>
          </m:sSub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ℜ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)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  <m:r>
                <m:t>t</m:t>
              </m:r>
            </m:sup>
          </m:sSup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Analytic signal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)</m:t>
          </m:r>
          <m:r>
            <m:t> 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  <m:sSub>
                <m:e>
                  <m:r>
                    <m:t>ω</m:t>
                  </m:r>
                </m:e>
                <m:sub>
                  <m:r>
                    <m:t>11</m:t>
                  </m:r>
                </m:sub>
              </m:sSub>
              <m:r>
                <m:t>t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Multiplying by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+</m:t>
            </m:r>
            <m:r>
              <m:t>i</m:t>
            </m:r>
            <m:sSub>
              <m:e>
                <m:r>
                  <m:t>ω</m:t>
                </m:r>
              </m:e>
              <m:sub>
                <m:r>
                  <m:t>11</m:t>
                </m:r>
              </m:sub>
            </m:sSub>
            <m:r>
              <m:t>t</m:t>
            </m:r>
          </m:sup>
        </m:sSup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(</m:t>
          </m:r>
          <m:r>
            <m:rPr>
              <m:sty m:val="b"/>
            </m:rP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Only a uniform time‑phase spin is removed; spatially the wave is still standing. “Rotating frame’’ refers to this phase rotation, not to a physical rotation of the torus.</w:t>
      </w:r>
    </w:p>
    <w:bookmarkEnd w:id="27"/>
    <w:bookmarkStart w:id="28" w:name="a-3-degeneracy-at-the-level-e_1e_04"/>
    <w:p>
      <w:pPr>
        <w:pStyle w:val="Heading4"/>
      </w:pPr>
      <w:r>
        <w:t xml:space="preserve">A 3  Degeneracy at the level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/</m:t>
        </m:r>
        <m:r>
          <m:t>4</m:t>
        </m:r>
      </m:oMath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4"/>
        <w:gridCol w:w="347"/>
        <w:gridCol w:w="555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ingredient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geometric modes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integer pairs</w:t>
            </w:r>
            <w:r>
              <w:t xml:space="preserve"> </w:t>
            </w:r>
            <m:oMath>
              <m:r>
                <m:rPr>
                  <m:sty m:val="p"/>
                </m:rPr>
                <m:t>(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</m:oMath>
            <w:r>
              <w:t xml:space="preserve"> </w:t>
            </w:r>
            <w:r>
              <w:t xml:space="preserve">with</w:t>
            </w:r>
            <w:r>
              <w:t xml:space="preserve"> </w:t>
            </w:r>
            <m:oMath>
              <m:sSubSup>
                <m:e>
                  <m:r>
                    <m:t>n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n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chirality</w:t>
            </w:r>
            <w:r>
              <w:t xml:space="preserve"> </w:t>
            </w:r>
            <m:oMath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)</m:t>
                  </m:r>
                </m:sup>
              </m:sSup>
              <m:r>
                <m:t>​</m:t>
              </m:r>
              <m:r>
                <m:rPr>
                  <m:sty m:val="p"/>
                </m:rPr>
                <m:t>/</m:t>
              </m:r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)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clockwise vs counter‑clockwise energy circulation (positive vs negative carrier)</w:t>
            </w:r>
          </w:p>
        </w:tc>
      </w:tr>
    </w:tbl>
    <w:p>
      <w:pPr>
        <w:pStyle w:val="BodyText"/>
      </w:pPr>
      <w:r>
        <w:t xml:space="preserve">Total states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Projecting onto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(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t xml:space="preserve">alone leaves the usual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degeneracy; keeping both analytic branches doubles it to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8</m:t>
        </m:r>
      </m:oMath>
      <w:r>
        <w:t xml:space="preserve">.</w:t>
      </w:r>
    </w:p>
    <w:bookmarkEnd w:id="28"/>
    <w:bookmarkEnd w:id="29"/>
    <w:bookmarkEnd w:id="30"/>
    <w:bookmarkStart w:id="31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4"/>
        </w:numPr>
      </w:pPr>
      <w:r>
        <w:t xml:space="preserve">Rodriguez A. M., Palma A. Hydrogen Atom Quantization from Purely Classical Maxwell Electromagnetic Fields. Preferred Frame Lab, June 2025. DOI 10.13140/RG.2.2.36143.04005. License CC BY 4.0.</w:t>
      </w:r>
    </w:p>
    <w:p>
      <w:pPr>
        <w:pStyle w:val="Compact"/>
        <w:numPr>
          <w:ilvl w:val="0"/>
          <w:numId w:val="1004"/>
        </w:numPr>
      </w:pPr>
      <w:r>
        <w:t xml:space="preserve">Bialynicki‑Birula I. Photon Wave Function. Progress in Optics 36 (1996) 245–294.</w:t>
      </w:r>
    </w:p>
    <w:p>
      <w:pPr>
        <w:pStyle w:val="Compact"/>
        <w:numPr>
          <w:ilvl w:val="0"/>
          <w:numId w:val="1004"/>
        </w:numPr>
      </w:pPr>
      <w:r>
        <w:t xml:space="preserve">de Broglie L. Recherches sur la théorie des quanta (PhD thesis, 1924).</w:t>
      </w:r>
    </w:p>
    <w:p>
      <w:pPr>
        <w:pStyle w:val="Compact"/>
        <w:numPr>
          <w:ilvl w:val="0"/>
          <w:numId w:val="1004"/>
        </w:numPr>
      </w:pPr>
      <w:r>
        <w:t xml:space="preserve">Jackson J. D. Classical Electrodynamics, 3rd ed., Wiley (1998).</w:t>
      </w:r>
    </w:p>
    <w:p>
      <w:pPr>
        <w:pStyle w:val="Compact"/>
        <w:numPr>
          <w:ilvl w:val="0"/>
          <w:numId w:val="1004"/>
        </w:numPr>
      </w:pPr>
      <w:r>
        <w:t xml:space="preserve">Landau L. D., Lifshitz E. M. Quantum Mechanics: Theory (Course of Theoretical Physics, Vol. 3, French ed.), 3rd ed., Mir (1974).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mailto:an@preferredfram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mailto:an@preferredfram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2025-07-30T00:46:06Z</dcterms:created>
  <dcterms:modified xsi:type="dcterms:W3CDTF">2025-07-30T00:46:06Z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