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2E74B5"/>
          <w:sz w:val="22"/>
          <w:szCs w:val="22"/>
        </w:rPr>
        <w:t xml:space="preserve">Projet CA</w:t>
      </w:r>
    </w:p>
    <w:p>
      <w:pPr>
        <w:spacing w:after="400"/>
        <w:jc w:val="center"/>
      </w:pPr>
      <w:r>
        <w:rPr>
          <w:b/>
          <w:bCs/>
          <w:color w:val="1F3864"/>
          <w:sz w:val="40"/>
          <w:szCs w:val="40"/>
        </w:rPr>
        <w:t xml:space="preserve">Prédiction de la part relative des recours aux soins d'urgence à maille départementale</w:t>
      </w:r>
    </w:p>
    <w:p>
      <w:pPr>
        <w:spacing w:after="800"/>
        <w:jc w:val="center"/>
      </w:pPr>
      <w:r>
        <w:rPr>
          <w:i/>
          <w:iCs/>
          <w:color w:val="2E74B5"/>
          <w:sz w:val="26"/>
          <w:szCs w:val="26"/>
        </w:rPr>
        <w:t xml:space="preserve">Cadrage projet, calendrier et note méthodologique</w:t>
      </w:r>
    </w:p>
    <w:p>
      <w:pPr>
        <w:spacing w:after="80"/>
        <w:jc w:val="center"/>
      </w:pPr>
      <w:r>
        <w:rPr>
          <w:sz w:val="22"/>
          <w:szCs w:val="22"/>
        </w:rPr>
        <w:t xml:space="preserve">Mentor : Antoine Fradin — Formation Data Science</w:t>
      </w:r>
    </w:p>
    <w:p>
      <w:pPr>
        <w:jc w:val="center"/>
      </w:pPr>
      <w:r>
        <w:rPr>
          <w:color w:val="595959"/>
          <w:sz w:val="22"/>
          <w:szCs w:val="22"/>
        </w:rPr>
        <w:t xml:space="preserve">Document d'équipe — 28 juillet 2026</w:t>
      </w:r>
    </w:p>
    <w:p>
      <w:pPr>
        <w:pageBreakBefore/>
      </w:pPr>
      <w:r>
        <w:br/>
        <w:t xml:space="preserve"/>
      </w:r>
    </w:p>
    <w:p>
      <w:pPr>
        <w:pStyle w:val="Heading1"/>
        <w:spacing w:after="160" w:before="320"/>
      </w:pPr>
      <w:r>
        <w:t xml:space="preserve">0. Cadrage du projet et calendrier</w:t>
      </w:r>
    </w:p>
    <w:p>
      <w:pPr>
        <w:spacing w:after="160"/>
        <w:jc w:val="both"/>
      </w:pPr>
      <w:r>
        <w:t xml:space="preserve">Résumé du message de cadrage transmis par le mentor (Antoine Fradin) le 28 juillet 2026, précisant les attendus et deadlines de chaque étape du projet.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100"/>
        <w:gridCol w:w="3850"/>
      </w:tblGrid>
      <w:tr>
        <w:trPr>
          <w:tblHeader/>
        </w:trPr>
        <w:tc>
          <w:tcPr>
            <w:tcW w:type="dxa" w:w="2000"/>
            <w:shd w:fill="1F3864" w:color="auto" w:val="clear"/>
            <w:tcMar>
              <w:top w:type="dxa" w:w="100"/>
              <w:left w:type="dxa" w:w="120"/>
              <w:bottom w:type="dxa" w:w="100"/>
              <w:right w:type="dxa" w:w="120"/>
            </w:tcMar>
          </w:tcPr>
          <w:p>
            <w:r>
              <w:rPr>
                <w:b/>
                <w:bCs/>
                <w:color w:val="FFFFFF"/>
                <w:sz w:val="19"/>
                <w:szCs w:val="19"/>
              </w:rPr>
              <w:t xml:space="preserve">Étape</w:t>
            </w:r>
          </w:p>
        </w:tc>
        <w:tc>
          <w:tcPr>
            <w:tcW w:type="dxa" w:w="2400"/>
            <w:shd w:fill="1F3864" w:color="auto" w:val="clear"/>
            <w:tcMar>
              <w:top w:type="dxa" w:w="100"/>
              <w:left w:type="dxa" w:w="120"/>
              <w:bottom w:type="dxa" w:w="100"/>
              <w:right w:type="dxa" w:w="120"/>
            </w:tcMar>
          </w:tcPr>
          <w:p>
            <w:r>
              <w:rPr>
                <w:b/>
                <w:bCs/>
                <w:color w:val="FFFFFF"/>
                <w:sz w:val="19"/>
                <w:szCs w:val="19"/>
              </w:rPr>
              <w:t xml:space="preserve">Livrable</w:t>
            </w:r>
          </w:p>
        </w:tc>
        <w:tc>
          <w:tcPr>
            <w:tcW w:type="dxa" w:w="1100"/>
            <w:shd w:fill="1F3864" w:color="auto" w:val="clear"/>
            <w:tcMar>
              <w:top w:type="dxa" w:w="100"/>
              <w:left w:type="dxa" w:w="120"/>
              <w:bottom w:type="dxa" w:w="100"/>
              <w:right w:type="dxa" w:w="120"/>
            </w:tcMar>
          </w:tcPr>
          <w:p>
            <w:r>
              <w:rPr>
                <w:b/>
                <w:bCs/>
                <w:color w:val="FFFFFF"/>
                <w:sz w:val="19"/>
                <w:szCs w:val="19"/>
              </w:rPr>
              <w:t xml:space="preserve">Deadline</w:t>
            </w:r>
          </w:p>
        </w:tc>
        <w:tc>
          <w:tcPr>
            <w:tcW w:type="dxa" w:w="3850"/>
            <w:shd w:fill="1F3864" w:color="auto" w:val="clear"/>
            <w:tcMar>
              <w:top w:type="dxa" w:w="100"/>
              <w:left w:type="dxa" w:w="120"/>
              <w:bottom w:type="dxa" w:w="100"/>
              <w:right w:type="dxa" w:w="120"/>
            </w:tcMar>
          </w:tcPr>
          <w:p>
            <w:r>
              <w:rPr>
                <w:b/>
                <w:bCs/>
                <w:color w:val="FFFFFF"/>
                <w:sz w:val="19"/>
                <w:szCs w:val="19"/>
              </w:rPr>
              <w:t xml:space="preserve">Contenu attendu</w:t>
            </w:r>
          </w:p>
        </w:tc>
      </w:tr>
      <w:tr>
        <w:trPr>
          <w:tblHeader w:val="false"/>
        </w:trPr>
        <w:tc>
          <w:tcPr>
            <w:tcW w:type="dxa" w:w="2000"/>
            <w:tcMar>
              <w:top w:type="dxa" w:w="100"/>
              <w:left w:type="dxa" w:w="120"/>
              <w:bottom w:type="dxa" w:w="100"/>
              <w:right w:type="dxa" w:w="120"/>
            </w:tcMar>
          </w:tcPr>
          <w:p>
            <w:r>
              <w:rPr>
                <w:b w:val="false"/>
                <w:bCs w:val="false"/>
                <w:sz w:val="19"/>
                <w:szCs w:val="19"/>
              </w:rPr>
              <w:t xml:space="preserve">1. Exploration des données</w:t>
            </w:r>
          </w:p>
        </w:tc>
        <w:tc>
          <w:tcPr>
            <w:tcW w:type="dxa" w:w="2400"/>
            <w:tcMar>
              <w:top w:type="dxa" w:w="100"/>
              <w:left w:type="dxa" w:w="120"/>
              <w:bottom w:type="dxa" w:w="100"/>
              <w:right w:type="dxa" w:w="120"/>
            </w:tcMar>
          </w:tcPr>
          <w:p>
            <w:r>
              <w:rPr>
                <w:b w:val="false"/>
                <w:bCs w:val="false"/>
                <w:sz w:val="19"/>
                <w:szCs w:val="19"/>
              </w:rPr>
              <w:t xml:space="preserve">Rapport d'exploration (template optionnel fourni)</w:t>
            </w:r>
          </w:p>
        </w:tc>
        <w:tc>
          <w:tcPr>
            <w:tcW w:type="dxa" w:w="1100"/>
            <w:tcMar>
              <w:top w:type="dxa" w:w="100"/>
              <w:left w:type="dxa" w:w="120"/>
              <w:bottom w:type="dxa" w:w="100"/>
              <w:right w:type="dxa" w:w="120"/>
            </w:tcMar>
          </w:tcPr>
          <w:p>
            <w:r>
              <w:rPr>
                <w:b w:val="false"/>
                <w:bCs w:val="false"/>
                <w:sz w:val="19"/>
                <w:szCs w:val="19"/>
              </w:rPr>
              <w:t xml:space="preserve">17/07</w:t>
            </w:r>
          </w:p>
        </w:tc>
        <w:tc>
          <w:tcPr>
            <w:tcW w:type="dxa" w:w="3850"/>
            <w:tcMar>
              <w:top w:type="dxa" w:w="100"/>
              <w:left w:type="dxa" w:w="120"/>
              <w:bottom w:type="dxa" w:w="100"/>
              <w:right w:type="dxa" w:w="120"/>
            </w:tcMar>
          </w:tcPr>
          <w:p>
            <w:r>
              <w:rPr>
                <w:b w:val="false"/>
                <w:bCs w:val="false"/>
                <w:sz w:val="19"/>
                <w:szCs w:val="19"/>
              </w:rPr>
              <w:t xml:space="preserve">Contexte, périmètre et problématique du projet ; récupération, prise en main et analyse quasi exhaustive du dataset (structure, difficultés, biais éventuels).</w:t>
            </w:r>
          </w:p>
        </w:tc>
      </w:tr>
      <w:tr>
        <w:trPr>
          <w:tblHeader w:val="false"/>
        </w:trPr>
        <w:tc>
          <w:tcPr>
            <w:tcW w:type="dxa" w:w="2000"/>
            <w:shd w:fill="DCE6F1" w:color="auto" w:val="clear"/>
            <w:tcMar>
              <w:top w:type="dxa" w:w="100"/>
              <w:left w:type="dxa" w:w="120"/>
              <w:bottom w:type="dxa" w:w="100"/>
              <w:right w:type="dxa" w:w="120"/>
            </w:tcMar>
          </w:tcPr>
          <w:p>
            <w:r>
              <w:rPr>
                <w:b w:val="false"/>
                <w:bCs w:val="false"/>
                <w:sz w:val="19"/>
                <w:szCs w:val="19"/>
              </w:rPr>
              <w:t xml:space="preserve">2. Pre-processing &amp; feature engineering</w:t>
            </w:r>
          </w:p>
        </w:tc>
        <w:tc>
          <w:tcPr>
            <w:tcW w:type="dxa" w:w="2400"/>
            <w:shd w:fill="DCE6F1" w:color="auto" w:val="clear"/>
            <w:tcMar>
              <w:top w:type="dxa" w:w="100"/>
              <w:left w:type="dxa" w:w="120"/>
              <w:bottom w:type="dxa" w:w="100"/>
              <w:right w:type="dxa" w:w="120"/>
            </w:tcMar>
          </w:tcPr>
          <w:p>
            <w:r>
              <w:rPr>
                <w:b w:val="false"/>
                <w:bCs w:val="false"/>
                <w:sz w:val="19"/>
                <w:szCs w:val="19"/>
              </w:rPr>
              <w:t xml:space="preserve">Dataset nettoyé et enrichi</w:t>
            </w:r>
          </w:p>
        </w:tc>
        <w:tc>
          <w:tcPr>
            <w:tcW w:type="dxa" w:w="1100"/>
            <w:shd w:fill="DCE6F1" w:color="auto" w:val="clear"/>
            <w:tcMar>
              <w:top w:type="dxa" w:w="100"/>
              <w:left w:type="dxa" w:w="120"/>
              <w:bottom w:type="dxa" w:w="100"/>
              <w:right w:type="dxa" w:w="120"/>
            </w:tcMar>
          </w:tcPr>
          <w:p>
            <w:r>
              <w:rPr>
                <w:b w:val="false"/>
                <w:bCs w:val="false"/>
                <w:sz w:val="19"/>
                <w:szCs w:val="19"/>
              </w:rPr>
              <w:t xml:space="preserve">06/08</w:t>
            </w:r>
          </w:p>
        </w:tc>
        <w:tc>
          <w:tcPr>
            <w:tcW w:type="dxa" w:w="3850"/>
            <w:shd w:fill="DCE6F1" w:color="auto" w:val="clear"/>
            <w:tcMar>
              <w:top w:type="dxa" w:w="100"/>
              <w:left w:type="dxa" w:w="120"/>
              <w:bottom w:type="dxa" w:w="100"/>
              <w:right w:type="dxa" w:w="120"/>
            </w:tcMar>
          </w:tcPr>
          <w:p>
            <w:r>
              <w:rPr>
                <w:b w:val="false"/>
                <w:bCs w:val="false"/>
                <w:sz w:val="19"/>
                <w:szCs w:val="19"/>
              </w:rPr>
              <w:t xml:space="preserve">Nettoyage et pre-processing suite aux constats de l'étape 1 ; transformation/ajout de features ; dataset prêt pour la modélisation.</w:t>
            </w:r>
          </w:p>
        </w:tc>
      </w:tr>
      <w:tr>
        <w:trPr>
          <w:tblHeader w:val="false"/>
        </w:trPr>
        <w:tc>
          <w:tcPr>
            <w:tcW w:type="dxa" w:w="2000"/>
            <w:tcMar>
              <w:top w:type="dxa" w:w="100"/>
              <w:left w:type="dxa" w:w="120"/>
              <w:bottom w:type="dxa" w:w="100"/>
              <w:right w:type="dxa" w:w="120"/>
            </w:tcMar>
          </w:tcPr>
          <w:p>
            <w:r>
              <w:rPr>
                <w:b w:val="false"/>
                <w:bCs w:val="false"/>
                <w:sz w:val="19"/>
                <w:szCs w:val="19"/>
              </w:rPr>
              <w:t xml:space="preserve">3. Modélisation</w:t>
            </w:r>
          </w:p>
        </w:tc>
        <w:tc>
          <w:tcPr>
            <w:tcW w:type="dxa" w:w="2400"/>
            <w:tcMar>
              <w:top w:type="dxa" w:w="100"/>
              <w:left w:type="dxa" w:w="120"/>
              <w:bottom w:type="dxa" w:w="100"/>
              <w:right w:type="dxa" w:w="120"/>
            </w:tcMar>
          </w:tcPr>
          <w:p>
            <w:r>
              <w:rPr>
                <w:b w:val="false"/>
                <w:bCs w:val="false"/>
                <w:sz w:val="19"/>
                <w:szCs w:val="19"/>
              </w:rPr>
              <w:t xml:space="preserve">Modèles + analyse des résultats</w:t>
            </w:r>
          </w:p>
        </w:tc>
        <w:tc>
          <w:tcPr>
            <w:tcW w:type="dxa" w:w="1100"/>
            <w:tcMar>
              <w:top w:type="dxa" w:w="100"/>
              <w:left w:type="dxa" w:w="120"/>
              <w:bottom w:type="dxa" w:w="100"/>
              <w:right w:type="dxa" w:w="120"/>
            </w:tcMar>
          </w:tcPr>
          <w:p>
            <w:r>
              <w:rPr>
                <w:b w:val="false"/>
                <w:bCs w:val="false"/>
                <w:sz w:val="19"/>
                <w:szCs w:val="19"/>
              </w:rPr>
              <w:t xml:space="preserve">30/10</w:t>
            </w:r>
          </w:p>
        </w:tc>
        <w:tc>
          <w:tcPr>
            <w:tcW w:type="dxa" w:w="3850"/>
            <w:tcMar>
              <w:top w:type="dxa" w:w="100"/>
              <w:left w:type="dxa" w:w="120"/>
              <w:bottom w:type="dxa" w:w="100"/>
              <w:right w:type="dxa" w:w="120"/>
            </w:tcMar>
          </w:tcPr>
          <w:p>
            <w:r>
              <w:rPr>
                <w:b w:val="false"/>
                <w:bCs w:val="false"/>
                <w:sz w:val="19"/>
                <w:szCs w:val="19"/>
              </w:rPr>
              <w:t xml:space="preserve">Step 1 : modèles baseline et analyse de pertinence. Step 2 : métriques ML/stats, optimisation, comparaison de modèles. Step 3 : bagging/boosting, deep learning, interprétabilité, conclusions scientifiques et métier.</w:t>
            </w:r>
          </w:p>
        </w:tc>
      </w:tr>
      <w:tr>
        <w:trPr>
          <w:tblHeader w:val="false"/>
        </w:trPr>
        <w:tc>
          <w:tcPr>
            <w:tcW w:type="dxa" w:w="2000"/>
            <w:shd w:fill="DCE6F1" w:color="auto" w:val="clear"/>
            <w:tcMar>
              <w:top w:type="dxa" w:w="100"/>
              <w:left w:type="dxa" w:w="120"/>
              <w:bottom w:type="dxa" w:w="100"/>
              <w:right w:type="dxa" w:w="120"/>
            </w:tcMar>
          </w:tcPr>
          <w:p>
            <w:r>
              <w:rPr>
                <w:b w:val="false"/>
                <w:bCs w:val="false"/>
                <w:sz w:val="19"/>
                <w:szCs w:val="19"/>
              </w:rPr>
              <w:t xml:space="preserve">4. Rapport final + code GitHub</w:t>
            </w:r>
          </w:p>
        </w:tc>
        <w:tc>
          <w:tcPr>
            <w:tcW w:type="dxa" w:w="2400"/>
            <w:shd w:fill="DCE6F1" w:color="auto" w:val="clear"/>
            <w:tcMar>
              <w:top w:type="dxa" w:w="100"/>
              <w:left w:type="dxa" w:w="120"/>
              <w:bottom w:type="dxa" w:w="100"/>
              <w:right w:type="dxa" w:w="120"/>
            </w:tcMar>
          </w:tcPr>
          <w:p>
            <w:r>
              <w:rPr>
                <w:b w:val="false"/>
                <w:bCs w:val="false"/>
                <w:sz w:val="19"/>
                <w:szCs w:val="19"/>
              </w:rPr>
              <w:t xml:space="preserve">Rapport PDF + dépôt GitHub</w:t>
            </w:r>
          </w:p>
        </w:tc>
        <w:tc>
          <w:tcPr>
            <w:tcW w:type="dxa" w:w="1100"/>
            <w:shd w:fill="DCE6F1" w:color="auto" w:val="clear"/>
            <w:tcMar>
              <w:top w:type="dxa" w:w="100"/>
              <w:left w:type="dxa" w:w="120"/>
              <w:bottom w:type="dxa" w:w="100"/>
              <w:right w:type="dxa" w:w="120"/>
            </w:tcMar>
          </w:tcPr>
          <w:p>
            <w:r>
              <w:rPr>
                <w:b w:val="false"/>
                <w:bCs w:val="false"/>
                <w:sz w:val="19"/>
                <w:szCs w:val="19"/>
              </w:rPr>
              <w:t xml:space="preserve">30/11</w:t>
            </w:r>
          </w:p>
        </w:tc>
        <w:tc>
          <w:tcPr>
            <w:tcW w:type="dxa" w:w="3850"/>
            <w:shd w:fill="DCE6F1" w:color="auto" w:val="clear"/>
            <w:tcMar>
              <w:top w:type="dxa" w:w="100"/>
              <w:left w:type="dxa" w:w="120"/>
              <w:bottom w:type="dxa" w:w="100"/>
              <w:right w:type="dxa" w:w="120"/>
            </w:tcMar>
          </w:tcPr>
          <w:p>
            <w:r>
              <w:rPr>
                <w:b w:val="false"/>
                <w:bCs w:val="false"/>
                <w:sz w:val="19"/>
                <w:szCs w:val="19"/>
              </w:rPr>
              <w:t xml:space="preserve">Rapport final = synthèse des rendus 1+2+3, avec conclusion et ouverture ; code propre et commenté sur GitHub (template DataScientest).</w:t>
            </w:r>
          </w:p>
        </w:tc>
      </w:tr>
      <w:tr>
        <w:trPr>
          <w:tblHeader w:val="false"/>
        </w:trPr>
        <w:tc>
          <w:tcPr>
            <w:tcW w:type="dxa" w:w="2000"/>
            <w:tcMar>
              <w:top w:type="dxa" w:w="100"/>
              <w:left w:type="dxa" w:w="120"/>
              <w:bottom w:type="dxa" w:w="100"/>
              <w:right w:type="dxa" w:w="120"/>
            </w:tcMar>
          </w:tcPr>
          <w:p>
            <w:r>
              <w:rPr>
                <w:b w:val="false"/>
                <w:bCs w:val="false"/>
                <w:sz w:val="19"/>
                <w:szCs w:val="19"/>
              </w:rPr>
              <w:t xml:space="preserve">5. App Streamlit + soutenance</w:t>
            </w:r>
          </w:p>
        </w:tc>
        <w:tc>
          <w:tcPr>
            <w:tcW w:type="dxa" w:w="2400"/>
            <w:tcMar>
              <w:top w:type="dxa" w:w="100"/>
              <w:left w:type="dxa" w:w="120"/>
              <w:bottom w:type="dxa" w:w="100"/>
              <w:right w:type="dxa" w:w="120"/>
            </w:tcMar>
          </w:tcPr>
          <w:p>
            <w:r>
              <w:rPr>
                <w:b w:val="false"/>
                <w:bCs w:val="false"/>
                <w:sz w:val="19"/>
                <w:szCs w:val="19"/>
              </w:rPr>
              <w:t xml:space="preserve">Slides (10) + démo Streamlit</w:t>
            </w:r>
          </w:p>
        </w:tc>
        <w:tc>
          <w:tcPr>
            <w:tcW w:type="dxa" w:w="1100"/>
            <w:tcMar>
              <w:top w:type="dxa" w:w="100"/>
              <w:left w:type="dxa" w:w="120"/>
              <w:bottom w:type="dxa" w:w="100"/>
              <w:right w:type="dxa" w:w="120"/>
            </w:tcMar>
          </w:tcPr>
          <w:p>
            <w:r>
              <w:rPr>
                <w:b w:val="false"/>
                <w:bCs w:val="false"/>
                <w:sz w:val="19"/>
                <w:szCs w:val="19"/>
              </w:rPr>
              <w:t xml:space="preserve">14/12</w:t>
            </w:r>
          </w:p>
        </w:tc>
        <w:tc>
          <w:tcPr>
            <w:tcW w:type="dxa" w:w="3850"/>
            <w:tcMar>
              <w:top w:type="dxa" w:w="100"/>
              <w:left w:type="dxa" w:w="120"/>
              <w:bottom w:type="dxa" w:w="100"/>
              <w:right w:type="dxa" w:w="120"/>
            </w:tcMar>
          </w:tcPr>
          <w:p>
            <w:r>
              <w:rPr>
                <w:b w:val="false"/>
                <w:bCs w:val="false"/>
                <w:sz w:val="19"/>
                <w:szCs w:val="19"/>
              </w:rPr>
              <w:t xml:space="preserve">20 min de présentation + 10 min de questions du jury ; démonstration via une application Streamlit.</w:t>
            </w:r>
          </w:p>
        </w:tc>
      </w:tr>
    </w:tbl>
    <w:p>
      <w:pPr>
        <w:spacing w:after="200"/>
      </w:pPr>
    </w:p>
    <w:tbl>
      <w:tblPr>
        <w:tblW w:type="dxa" w:w="9350"/>
        <w:tblBorders>
          <w:top w:val="single" w:color="C00000" w:sz="4"/>
          <w:left w:val="single" w:color="C00000" w:sz="4"/>
          <w:bottom w:val="single" w:color="C00000" w:sz="4"/>
          <w:right w:val="single" w:color="C00000" w:sz="4"/>
          <w:insideH w:val="none" w:color="FFFFFF" w:sz="0"/>
          <w:insideV w:val="none" w:color="FFFFFF" w:sz="0"/>
        </w:tblBorders>
      </w:tblPr>
      <w:tblGrid>
        <w:gridCol w:w="9350"/>
      </w:tblGrid>
      <w:tr>
        <w:tc>
          <w:tcPr>
            <w:tcW w:type="dxa" w:w="9350"/>
            <w:shd w:fill="FCE4E4" w:color="auto" w:val="clear"/>
            <w:tcMar>
              <w:top w:type="dxa" w:w="140"/>
              <w:left w:type="dxa" w:w="180"/>
              <w:bottom w:type="dxa" w:w="140"/>
              <w:right w:type="dxa" w:w="180"/>
            </w:tcMar>
          </w:tcPr>
          <w:p>
            <w:pPr>
              <w:spacing w:after="60"/>
            </w:pPr>
            <w:r>
              <w:rPr>
                <w:b/>
                <w:bCs/>
                <w:color w:val="C00000"/>
              </w:rPr>
              <w:t xml:space="preserve">⚠ Point d'attention calendrier</w:t>
            </w:r>
          </w:p>
          <w:p>
            <w:pPr>
              <w:jc w:val="both"/>
            </w:pPr>
            <w:r>
              <w:t xml:space="preserve">Nous sommes le 28/07/2026 : la deadline de l'Étape 1 (17/07) est dépassée d'environ 11 jours, et celle de l'Étape 2 (06/08) arrive dans moins de deux semaines. La priorité immédiate est de finaliser l'exploration des données (section 1 ci-après) puis d'enchaîner rapidement sur le nettoyage et le feature engineering pour rattraper le retard.</w:t>
            </w:r>
          </w:p>
        </w:tc>
      </w:tr>
    </w:tbl>
    <w:p>
      <w:pPr>
        <w:spacing w:after="120"/>
      </w:pPr>
    </w:p>
    <w:p>
      <w:pPr>
        <w:pStyle w:val="Heading2"/>
        <w:spacing w:after="120" w:before="240"/>
      </w:pPr>
      <w:r>
        <w:t xml:space="preserve">Notes pratiques du mentor</w:t>
      </w:r>
    </w:p>
    <w:p>
      <w:pPr>
        <w:pStyle w:val="ListParagraph"/>
        <w:numPr>
          <w:ilvl w:val="0"/>
          <w:numId w:val="2"/>
        </w:numPr>
        <w:spacing w:after="80"/>
      </w:pPr>
      <w:r>
        <w:t xml:space="preserve">Prévoir des points de suivi réguliers en équipe (hebdomadaires suggérés).</w:t>
      </w:r>
    </w:p>
    <w:p>
      <w:pPr>
        <w:pStyle w:val="ListParagraph"/>
        <w:numPr>
          <w:ilvl w:val="0"/>
          <w:numId w:val="2"/>
        </w:numPr>
        <w:spacing w:after="80"/>
      </w:pPr>
      <w:r>
        <w:t xml:space="preserve">Réunions avec le mentor à chaque deadline (± quelques jours), pouvant être enregistrées.</w:t>
      </w:r>
    </w:p>
    <w:p>
      <w:pPr>
        <w:pStyle w:val="ListParagraph"/>
        <w:numPr>
          <w:ilvl w:val="0"/>
          <w:numId w:val="2"/>
        </w:numPr>
        <w:spacing w:after="80"/>
      </w:pPr>
      <w:r>
        <w:t xml:space="preserve">Transmettre les identifiants/emails de l'équipe pour l'accès au dépôt GitHub.</w:t>
      </w:r>
    </w:p>
    <w:p>
      <w:pPr>
        <w:pStyle w:val="ListParagraph"/>
        <w:numPr>
          <w:ilvl w:val="0"/>
          <w:numId w:val="2"/>
        </w:numPr>
        <w:spacing w:after="80"/>
      </w:pPr>
      <w:r>
        <w:t xml:space="preserve">Libre choix des données, modèles et outils : l'objectif final est d'avoir au moins un modèle fonctionnel exposé via Streamlit, avec des conclusions business et scientifiques claires.</w:t>
      </w:r>
    </w:p>
    <w:p>
      <w:pPr>
        <w:pStyle w:val="ListParagraph"/>
        <w:numPr>
          <w:ilvl w:val="0"/>
          <w:numId w:val="2"/>
        </w:numPr>
        <w:spacing w:after="80"/>
      </w:pPr>
      <w:r>
        <w:t xml:space="preserve">Évaluation finale basée sur la présentation (Zoom) et le rapport écrit.</w:t>
      </w:r>
    </w:p>
    <w:p>
      <w:pPr>
        <w:pStyle w:val="ListParagraph"/>
        <w:numPr>
          <w:ilvl w:val="0"/>
          <w:numId w:val="2"/>
        </w:numPr>
        <w:spacing w:after="80"/>
      </w:pPr>
      <w:r>
        <w:t xml:space="preserve">Les rendus intermédiaires (1, 2, 3) peuvent être transmis au mentor en cours d'avancement pour obtenir des retours.</w:t>
      </w:r>
    </w:p>
    <w:p>
      <w:pPr>
        <w:pStyle w:val="Heading2"/>
        <w:spacing w:after="120" w:before="240"/>
      </w:pPr>
      <w:r>
        <w:t xml:space="preserve">Ressources transmises par le mentor</w:t>
      </w:r>
    </w:p>
    <w:p>
      <w:pPr>
        <w:pStyle w:val="ListParagraph"/>
        <w:numPr>
          <w:ilvl w:val="0"/>
          <w:numId w:val="2"/>
        </w:numPr>
        <w:spacing w:after="80"/>
      </w:pPr>
      <w:r>
        <w:t xml:space="preserve">Template — Rapport d'exploration des données : </w:t>
      </w:r>
      <w:hyperlink w:history="1" r:id="rIdl4zkrepfv80b98uxkkg50">
        <w:r>
          <w:rPr>
            <w:rStyle w:val="Hyperlink"/>
          </w:rPr>
          <w:t xml:space="preserve">https://docs.google.com/spreadsheets/d/1T7uEuAvwJZ9lVuPD0TBc1paAcSRIy_P-WLz4nCAjqUQ/edit?usp=sharing</w:t>
        </w:r>
      </w:hyperlink>
    </w:p>
    <w:p>
      <w:pPr>
        <w:pStyle w:val="ListParagraph"/>
        <w:numPr>
          <w:ilvl w:val="0"/>
          <w:numId w:val="2"/>
        </w:numPr>
        <w:spacing w:after="80"/>
      </w:pPr>
      <w:r>
        <w:t xml:space="preserve">Template GitHub — DataScientest : </w:t>
      </w:r>
      <w:hyperlink w:history="1" r:id="rIdvdbpy1j7cvmct030mndmz">
        <w:r>
          <w:rPr>
            <w:rStyle w:val="Hyperlink"/>
          </w:rPr>
          <w:t xml:space="preserve">https://github.com/DataScientest-Studio/Template_DS</w:t>
        </w:r>
      </w:hyperlink>
    </w:p>
    <w:p>
      <w:pPr>
        <w:pStyle w:val="ListParagraph"/>
        <w:numPr>
          <w:ilvl w:val="0"/>
          <w:numId w:val="2"/>
        </w:numPr>
        <w:spacing w:after="80"/>
      </w:pPr>
      <w:r>
        <w:t xml:space="preserve">Méthodologie des rapports de projet : </w:t>
      </w:r>
      <w:hyperlink w:history="1" r:id="rIdshh0uiewityp9jngh6xk3">
        <w:r>
          <w:rPr>
            <w:rStyle w:val="Hyperlink"/>
          </w:rPr>
          <w:t xml:space="preserve">https://docs.google.com/document/d/1y8_Uz4lRSU1X9a7LOO6lP3m6TkVWTUoRyimmUioejJY/edit?usp=sharing</w:t>
        </w:r>
      </w:hyperlink>
    </w:p>
    <w:p>
      <w:pPr>
        <w:pStyle w:val="ListParagraph"/>
        <w:numPr>
          <w:ilvl w:val="0"/>
          <w:numId w:val="2"/>
        </w:numPr>
        <w:spacing w:after="80"/>
      </w:pPr>
      <w:r>
        <w:t xml:space="preserve">Méthodologie de la soutenance : </w:t>
      </w:r>
      <w:hyperlink w:history="1" r:id="rIdhh8j8nn8uuq3jho1k7tcy">
        <w:r>
          <w:rPr>
            <w:rStyle w:val="Hyperlink"/>
          </w:rPr>
          <w:t xml:space="preserve">https://docs.google.com/document/d/1hZuFkTLz_KXQ_AL3ge8AABk5RemabxYm6AVQZqjKcJw/edit?usp=sharing</w:t>
        </w:r>
      </w:hyperlink>
    </w:p>
    <w:p>
      <w:pPr>
        <w:pageBreakBefore/>
      </w:pPr>
      <w:r>
        <w:br/>
        <w:t xml:space="preserve"/>
      </w:r>
    </w:p>
    <w:p>
      <w:pPr>
        <w:pStyle w:val="Heading1"/>
        <w:spacing w:after="160" w:before="320"/>
      </w:pPr>
      <w:r>
        <w:t xml:space="preserve">1. État d'avancement au regard de l'Étape 1</w:t>
      </w:r>
    </w:p>
    <w:p>
      <w:pPr>
        <w:spacing w:after="160"/>
        <w:jc w:val="both"/>
      </w:pPr>
      <w:r>
        <w:t xml:space="preserve">L'Étape 1 demande deux livrables distincts. Le tableau ci-dessous fait le point sur ce que couvre déjà notre note de cadrage (sections 2 à 6) et ce qu'il reste à produire.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50"/>
      </w:tblGrid>
      <w:tr>
        <w:trPr>
          <w:tblHeader/>
        </w:trPr>
        <w:tc>
          <w:tcPr>
            <w:tcW w:type="dxa" w:w="2600"/>
            <w:shd w:fill="1F3864" w:color="auto" w:val="clear"/>
            <w:tcMar>
              <w:top w:type="dxa" w:w="100"/>
              <w:left w:type="dxa" w:w="120"/>
              <w:bottom w:type="dxa" w:w="100"/>
              <w:right w:type="dxa" w:w="120"/>
            </w:tcMar>
          </w:tcPr>
          <w:p>
            <w:r>
              <w:rPr>
                <w:b/>
                <w:bCs/>
                <w:color w:val="FFFFFF"/>
                <w:sz w:val="19"/>
                <w:szCs w:val="19"/>
              </w:rPr>
              <w:t xml:space="preserve">Attendu Étape 1</w:t>
            </w:r>
          </w:p>
        </w:tc>
        <w:tc>
          <w:tcPr>
            <w:tcW w:type="dxa" w:w="1400"/>
            <w:shd w:fill="1F3864" w:color="auto" w:val="clear"/>
            <w:tcMar>
              <w:top w:type="dxa" w:w="100"/>
              <w:left w:type="dxa" w:w="120"/>
              <w:bottom w:type="dxa" w:w="100"/>
              <w:right w:type="dxa" w:w="120"/>
            </w:tcMar>
          </w:tcPr>
          <w:p>
            <w:r>
              <w:rPr>
                <w:b/>
                <w:bCs/>
                <w:color w:val="FFFFFF"/>
                <w:sz w:val="19"/>
                <w:szCs w:val="19"/>
              </w:rPr>
              <w:t xml:space="preserve">État</w:t>
            </w:r>
          </w:p>
        </w:tc>
        <w:tc>
          <w:tcPr>
            <w:tcW w:type="dxa" w:w="5350"/>
            <w:shd w:fill="1F3864" w:color="auto" w:val="clear"/>
            <w:tcMar>
              <w:top w:type="dxa" w:w="100"/>
              <w:left w:type="dxa" w:w="120"/>
              <w:bottom w:type="dxa" w:w="100"/>
              <w:right w:type="dxa" w:w="120"/>
            </w:tcMar>
          </w:tcPr>
          <w:p>
            <w:r>
              <w:rPr>
                <w:b/>
                <w:bCs/>
                <w:color w:val="FFFFFF"/>
                <w:sz w:val="19"/>
                <w:szCs w:val="19"/>
              </w:rPr>
              <w:t xml:space="preserve">Détail</w:t>
            </w:r>
          </w:p>
        </w:tc>
      </w:tr>
      <w:tr>
        <w:trPr>
          <w:tblHeader w:val="false"/>
        </w:trPr>
        <w:tc>
          <w:tcPr>
            <w:tcW w:type="dxa" w:w="2600"/>
            <w:tcMar>
              <w:top w:type="dxa" w:w="100"/>
              <w:left w:type="dxa" w:w="120"/>
              <w:bottom w:type="dxa" w:w="100"/>
              <w:right w:type="dxa" w:w="120"/>
            </w:tcMar>
          </w:tcPr>
          <w:p>
            <w:r>
              <w:rPr>
                <w:b w:val="false"/>
                <w:bCs w:val="false"/>
                <w:sz w:val="19"/>
                <w:szCs w:val="19"/>
              </w:rPr>
              <w:t xml:space="preserve">Contexte, périmètre, problématique</w:t>
            </w:r>
          </w:p>
        </w:tc>
        <w:tc>
          <w:tcPr>
            <w:tcW w:type="dxa" w:w="1400"/>
            <w:tcMar>
              <w:top w:type="dxa" w:w="100"/>
              <w:left w:type="dxa" w:w="120"/>
              <w:bottom w:type="dxa" w:w="100"/>
              <w:right w:type="dxa" w:w="120"/>
            </w:tcMar>
          </w:tcPr>
          <w:p>
            <w:r>
              <w:rPr>
                <w:b w:val="false"/>
                <w:bCs w:val="false"/>
                <w:sz w:val="19"/>
                <w:szCs w:val="19"/>
              </w:rPr>
              <w:t xml:space="preserve">Couvert</w:t>
            </w:r>
          </w:p>
        </w:tc>
        <w:tc>
          <w:tcPr>
            <w:tcW w:type="dxa" w:w="5350"/>
            <w:tcMar>
              <w:top w:type="dxa" w:w="100"/>
              <w:left w:type="dxa" w:w="120"/>
              <w:bottom w:type="dxa" w:w="100"/>
              <w:right w:type="dxa" w:w="120"/>
            </w:tcMar>
          </w:tcPr>
          <w:p>
            <w:r>
              <w:rPr>
                <w:b w:val="false"/>
                <w:bCs w:val="false"/>
                <w:sz w:val="19"/>
                <w:szCs w:val="19"/>
              </w:rPr>
              <w:t xml:space="preserve">Voir sections 2 (Définition du sujet) et 3 (Architecture du projet) : sujet, objectifs actuariels, architecture en deux étapes (clustering puis prédiction).</w:t>
            </w:r>
          </w:p>
        </w:tc>
      </w:tr>
      <w:tr>
        <w:trPr>
          <w:tblHeader w:val="false"/>
        </w:trPr>
        <w:tc>
          <w:tcPr>
            <w:tcW w:type="dxa" w:w="2600"/>
            <w:shd w:fill="DCE6F1" w:color="auto" w:val="clear"/>
            <w:tcMar>
              <w:top w:type="dxa" w:w="100"/>
              <w:left w:type="dxa" w:w="120"/>
              <w:bottom w:type="dxa" w:w="100"/>
              <w:right w:type="dxa" w:w="120"/>
            </w:tcMar>
          </w:tcPr>
          <w:p>
            <w:r>
              <w:rPr>
                <w:b w:val="false"/>
                <w:bCs w:val="false"/>
                <w:sz w:val="19"/>
                <w:szCs w:val="19"/>
              </w:rPr>
              <w:t xml:space="preserve">Sources de données identifiées</w:t>
            </w:r>
          </w:p>
        </w:tc>
        <w:tc>
          <w:tcPr>
            <w:tcW w:type="dxa" w:w="1400"/>
            <w:shd w:fill="DCE6F1" w:color="auto" w:val="clear"/>
            <w:tcMar>
              <w:top w:type="dxa" w:w="100"/>
              <w:left w:type="dxa" w:w="120"/>
              <w:bottom w:type="dxa" w:w="100"/>
              <w:right w:type="dxa" w:w="120"/>
            </w:tcMar>
          </w:tcPr>
          <w:p>
            <w:r>
              <w:rPr>
                <w:b w:val="false"/>
                <w:bCs w:val="false"/>
                <w:sz w:val="19"/>
                <w:szCs w:val="19"/>
              </w:rPr>
              <w:t xml:space="preserve">Couvert</w:t>
            </w:r>
          </w:p>
        </w:tc>
        <w:tc>
          <w:tcPr>
            <w:tcW w:type="dxa" w:w="5350"/>
            <w:shd w:fill="DCE6F1" w:color="auto" w:val="clear"/>
            <w:tcMar>
              <w:top w:type="dxa" w:w="100"/>
              <w:left w:type="dxa" w:w="120"/>
              <w:bottom w:type="dxa" w:w="100"/>
              <w:right w:type="dxa" w:w="120"/>
            </w:tcMar>
          </w:tcPr>
          <w:p>
            <w:r>
              <w:rPr>
                <w:b w:val="false"/>
                <w:bCs w:val="false"/>
                <w:sz w:val="19"/>
                <w:szCs w:val="19"/>
              </w:rPr>
              <w:t xml:space="preserve">Voir section 6 (Les bases de données) : sources cible et explicatives listées et complétées (population INSEE, qualité de l'air).</w:t>
            </w:r>
          </w:p>
        </w:tc>
      </w:tr>
      <w:tr>
        <w:trPr>
          <w:tblHeader w:val="false"/>
        </w:trPr>
        <w:tc>
          <w:tcPr>
            <w:tcW w:type="dxa" w:w="2600"/>
            <w:tcMar>
              <w:top w:type="dxa" w:w="100"/>
              <w:left w:type="dxa" w:w="120"/>
              <w:bottom w:type="dxa" w:w="100"/>
              <w:right w:type="dxa" w:w="120"/>
            </w:tcMar>
          </w:tcPr>
          <w:p>
            <w:r>
              <w:rPr>
                <w:b w:val="false"/>
                <w:bCs w:val="false"/>
                <w:sz w:val="19"/>
                <w:szCs w:val="19"/>
              </w:rPr>
              <w:t xml:space="preserve">Récupération effective des données</w:t>
            </w:r>
          </w:p>
        </w:tc>
        <w:tc>
          <w:tcPr>
            <w:tcW w:type="dxa" w:w="1400"/>
            <w:tcMar>
              <w:top w:type="dxa" w:w="100"/>
              <w:left w:type="dxa" w:w="120"/>
              <w:bottom w:type="dxa" w:w="100"/>
              <w:right w:type="dxa" w:w="120"/>
            </w:tcMar>
          </w:tcPr>
          <w:p>
            <w:r>
              <w:rPr>
                <w:b w:val="false"/>
                <w:bCs w:val="false"/>
                <w:sz w:val="19"/>
                <w:szCs w:val="19"/>
              </w:rPr>
              <w:t xml:space="preserve">À faire</w:t>
            </w:r>
          </w:p>
        </w:tc>
        <w:tc>
          <w:tcPr>
            <w:tcW w:type="dxa" w:w="5350"/>
            <w:tcMar>
              <w:top w:type="dxa" w:w="100"/>
              <w:left w:type="dxa" w:w="120"/>
              <w:bottom w:type="dxa" w:w="100"/>
              <w:right w:type="dxa" w:w="120"/>
            </w:tcMar>
          </w:tcPr>
          <w:p>
            <w:r>
              <w:rPr>
                <w:b w:val="false"/>
                <w:bCs w:val="false"/>
                <w:sz w:val="19"/>
                <w:szCs w:val="19"/>
              </w:rPr>
              <w:t xml:space="preserve">Téléchargement des jeux de données (Santé Publique France, SYNOP, INSEE, Ameli, GASPAR, Atmo) et constitution d'un dataset de travail.</w:t>
            </w:r>
          </w:p>
        </w:tc>
      </w:tr>
      <w:tr>
        <w:trPr>
          <w:tblHeader w:val="false"/>
        </w:trPr>
        <w:tc>
          <w:tcPr>
            <w:tcW w:type="dxa" w:w="2600"/>
            <w:shd w:fill="DCE6F1" w:color="auto" w:val="clear"/>
            <w:tcMar>
              <w:top w:type="dxa" w:w="100"/>
              <w:left w:type="dxa" w:w="120"/>
              <w:bottom w:type="dxa" w:w="100"/>
              <w:right w:type="dxa" w:w="120"/>
            </w:tcMar>
          </w:tcPr>
          <w:p>
            <w:r>
              <w:rPr>
                <w:b w:val="false"/>
                <w:bCs w:val="false"/>
                <w:sz w:val="19"/>
                <w:szCs w:val="19"/>
              </w:rPr>
              <w:t xml:space="preserve">Prise en main et analyse exhaustive</w:t>
            </w:r>
          </w:p>
        </w:tc>
        <w:tc>
          <w:tcPr>
            <w:tcW w:type="dxa" w:w="1400"/>
            <w:shd w:fill="DCE6F1" w:color="auto" w:val="clear"/>
            <w:tcMar>
              <w:top w:type="dxa" w:w="100"/>
              <w:left w:type="dxa" w:w="120"/>
              <w:bottom w:type="dxa" w:w="100"/>
              <w:right w:type="dxa" w:w="120"/>
            </w:tcMar>
          </w:tcPr>
          <w:p>
            <w:r>
              <w:rPr>
                <w:b w:val="false"/>
                <w:bCs w:val="false"/>
                <w:sz w:val="19"/>
                <w:szCs w:val="19"/>
              </w:rPr>
              <w:t xml:space="preserve">À faire</w:t>
            </w:r>
          </w:p>
        </w:tc>
        <w:tc>
          <w:tcPr>
            <w:tcW w:type="dxa" w:w="5350"/>
            <w:shd w:fill="DCE6F1" w:color="auto" w:val="clear"/>
            <w:tcMar>
              <w:top w:type="dxa" w:w="100"/>
              <w:left w:type="dxa" w:w="120"/>
              <w:bottom w:type="dxa" w:w="100"/>
              <w:right w:type="dxa" w:w="120"/>
            </w:tcMar>
          </w:tcPr>
          <w:p>
            <w:r>
              <w:rPr>
                <w:b w:val="false"/>
                <w:bCs w:val="false"/>
                <w:sz w:val="19"/>
                <w:szCs w:val="19"/>
              </w:rPr>
              <w:t xml:space="preserve">Analyse descriptive (volumétrie, granularité temporelle/géographique, valeurs manquantes, doublons, cohérence des unités).</w:t>
            </w:r>
          </w:p>
        </w:tc>
      </w:tr>
      <w:tr>
        <w:trPr>
          <w:tblHeader w:val="false"/>
        </w:trPr>
        <w:tc>
          <w:tcPr>
            <w:tcW w:type="dxa" w:w="2600"/>
            <w:tcMar>
              <w:top w:type="dxa" w:w="100"/>
              <w:left w:type="dxa" w:w="120"/>
              <w:bottom w:type="dxa" w:w="100"/>
              <w:right w:type="dxa" w:w="120"/>
            </w:tcMar>
          </w:tcPr>
          <w:p>
            <w:r>
              <w:rPr>
                <w:b w:val="false"/>
                <w:bCs w:val="false"/>
                <w:sz w:val="19"/>
                <w:szCs w:val="19"/>
              </w:rPr>
              <w:t xml:space="preserve">Structure, difficultés, biais du dataset</w:t>
            </w:r>
          </w:p>
        </w:tc>
        <w:tc>
          <w:tcPr>
            <w:tcW w:type="dxa" w:w="1400"/>
            <w:tcMar>
              <w:top w:type="dxa" w:w="100"/>
              <w:left w:type="dxa" w:w="120"/>
              <w:bottom w:type="dxa" w:w="100"/>
              <w:right w:type="dxa" w:w="120"/>
            </w:tcMar>
          </w:tcPr>
          <w:p>
            <w:r>
              <w:rPr>
                <w:b w:val="false"/>
                <w:bCs w:val="false"/>
                <w:sz w:val="19"/>
                <w:szCs w:val="19"/>
              </w:rPr>
              <w:t xml:space="preserve">Partiellement couvert</w:t>
            </w:r>
          </w:p>
        </w:tc>
        <w:tc>
          <w:tcPr>
            <w:tcW w:type="dxa" w:w="5350"/>
            <w:tcMar>
              <w:top w:type="dxa" w:w="100"/>
              <w:left w:type="dxa" w:w="120"/>
              <w:bottom w:type="dxa" w:w="100"/>
              <w:right w:type="dxa" w:w="120"/>
            </w:tcMar>
          </w:tcPr>
          <w:p>
            <w:r>
              <w:rPr>
                <w:b w:val="false"/>
                <w:bCs w:val="false"/>
                <w:sz w:val="19"/>
                <w:szCs w:val="19"/>
              </w:rPr>
              <w:t xml:space="preserve">Section 4 (Points de vigilance) anticipe déjà plusieurs biais probables (rupture COVID, dénominateur, décalage de fréquence) ; à confirmer empiriquement une fois les données chargées.</w:t>
            </w:r>
          </w:p>
        </w:tc>
      </w:tr>
    </w:tbl>
    <w:p>
      <w:pPr>
        <w:spacing w:after="200"/>
      </w:pPr>
    </w:p>
    <w:p>
      <w:pPr>
        <w:pStyle w:val="Heading2"/>
        <w:spacing w:after="120" w:before="240"/>
      </w:pPr>
      <w:r>
        <w:t xml:space="preserve">Actions immédiates</w:t>
      </w:r>
    </w:p>
    <w:p>
      <w:pPr>
        <w:pStyle w:val="ListParagraph"/>
        <w:numPr>
          <w:ilvl w:val="0"/>
          <w:numId w:val="2"/>
        </w:numPr>
        <w:spacing w:after="80"/>
      </w:pPr>
      <w:r>
        <w:t xml:space="preserve">Télécharger et charger les jeux de données prioritaires (urgences asthme/allergies/bronchiolite, SYNOP, populations légales INSEE).</w:t>
      </w:r>
    </w:p>
    <w:p>
      <w:pPr>
        <w:pStyle w:val="ListParagraph"/>
        <w:numPr>
          <w:ilvl w:val="0"/>
          <w:numId w:val="2"/>
        </w:numPr>
        <w:spacing w:after="80"/>
      </w:pPr>
      <w:r>
        <w:t xml:space="preserve">Réaliser l'analyse exploratoire (EDA) : distributions, valeurs manquantes, cohérence temporelle 2020-2025, doublons, unités.</w:t>
      </w:r>
    </w:p>
    <w:p>
      <w:pPr>
        <w:pStyle w:val="ListParagraph"/>
        <w:numPr>
          <w:ilvl w:val="0"/>
          <w:numId w:val="2"/>
        </w:numPr>
        <w:spacing w:after="80"/>
      </w:pPr>
      <w:r>
        <w:t xml:space="preserve">Renseigner le template d'exploration fourni par le mentor et vérifier les biais anticipés en section 4.</w:t>
      </w:r>
    </w:p>
    <w:p>
      <w:pPr>
        <w:pStyle w:val="ListParagraph"/>
        <w:numPr>
          <w:ilvl w:val="0"/>
          <w:numId w:val="2"/>
        </w:numPr>
        <w:spacing w:after="80"/>
      </w:pPr>
      <w:r>
        <w:t xml:space="preserve">Envoyer le rendu de l'Étape 1 au mentor dès finalisation, en signalant le léger retard.</w:t>
      </w:r>
    </w:p>
    <w:p>
      <w:pPr>
        <w:pageBreakBefore/>
      </w:pPr>
      <w:r>
        <w:br/>
        <w:t xml:space="preserve"/>
      </w:r>
    </w:p>
    <w:p>
      <w:pPr>
        <w:pStyle w:val="Heading1"/>
        <w:spacing w:after="160" w:before="320"/>
      </w:pPr>
      <w:r>
        <w:t xml:space="preserve">2. Définition du sujet</w:t>
      </w:r>
    </w:p>
    <w:p>
      <w:pPr>
        <w:spacing w:after="160"/>
        <w:jc w:val="both"/>
      </w:pPr>
      <w:r>
        <w:t xml:space="preserve">Sujet : prédiction de la part relative des recours aux soins d'urgence (passages aux urgences pour pathologies respiratoires et allergiques), en intégrant une composante géographique et environnementale, à une maille départementale.</w:t>
      </w:r>
    </w:p>
    <w:p>
      <w:pPr>
        <w:spacing w:after="120"/>
      </w:pP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Note de terminologie</w:t>
            </w:r>
          </w:p>
          <w:p>
            <w:pPr>
              <w:jc w:val="both"/>
            </w:pPr>
            <w:r>
              <w:t xml:space="preserve">La variable cible (taux_urgences, source Santé Publique France) n'est pas un taux d'incidence en population générale : c'est un indicateur de « part relative d'activité » — la proportion de passages aux urgences attribuable à la pathologie, parmi l'ensemble des passages avec diagnostic codé du même département/classe d'âge/semaine (détail en 4.2). Santé Publique France construit l'indicateur ainsi car le réseau de remontée (OSCOUR®) n'a pas une couverture hospitalière complète ni stable dans le temps ; rapporter les cas à l'activité du même réseau plutôt qu'à la population totale neutralise ce biais de couverture. Le projet prédit donc un signal de surveillance syndromique — une charge relative sur les urgences — utilisable comme proxy de tendance épidémique, plutôt qu'un taux d'incidence épidémiologique au sens strict.</w:t>
            </w:r>
          </w:p>
        </w:tc>
      </w:tr>
    </w:tbl>
    <w:p>
      <w:pPr>
        <w:spacing w:after="120"/>
      </w:pPr>
    </w:p>
    <w:p>
      <w:pPr>
        <w:pStyle w:val="Heading2"/>
        <w:spacing w:after="120" w:before="240"/>
      </w:pPr>
      <w:r>
        <w:t xml:space="preserve">2.1 Objectifs actuariels</w:t>
      </w:r>
    </w:p>
    <w:p>
      <w:pPr>
        <w:pStyle w:val="ListParagraph"/>
        <w:numPr>
          <w:ilvl w:val="0"/>
          <w:numId w:val="2"/>
        </w:numPr>
        <w:spacing w:after="80"/>
      </w:pPr>
      <w:r>
        <w:rPr>
          <w:b/>
          <w:bCs/>
        </w:rPr>
        <w:t xml:space="preserve">Tarification granulaire : </w:t>
      </w:r>
      <w:r>
        <w:t xml:space="preserve">identifier des facteurs de risque géographiques pour éclairer la politique tarifaire au niveau du portefeuille (voir avertissement ci-dessous).</w:t>
      </w:r>
    </w:p>
    <w:p>
      <w:pPr>
        <w:pStyle w:val="ListParagraph"/>
        <w:numPr>
          <w:ilvl w:val="0"/>
          <w:numId w:val="2"/>
        </w:numPr>
        <w:spacing w:after="80"/>
      </w:pPr>
      <w:r>
        <w:rPr>
          <w:b/>
          <w:bCs/>
        </w:rPr>
        <w:t xml:space="preserve">Gestion des risques : </w:t>
      </w:r>
      <w:r>
        <w:t xml:space="preserve">anticiper les pics de sinistralité liés aux conditions environnementales (vagues de chaleur, pics de pollution, épidémies saisonnières).</w:t>
      </w:r>
    </w:p>
    <w:p>
      <w:pPr>
        <w:pStyle w:val="ListParagraph"/>
        <w:numPr>
          <w:ilvl w:val="0"/>
          <w:numId w:val="2"/>
        </w:numPr>
        <w:spacing w:after="80"/>
      </w:pPr>
      <w:r>
        <w:rPr>
          <w:b/>
          <w:bCs/>
        </w:rPr>
        <w:t xml:space="preserve">Innovation produit : </w:t>
      </w:r>
      <w:r>
        <w:t xml:space="preserve">concevoir des services de prévention personnalisés selon le lieu de résidence de l'assuré.</w:t>
      </w:r>
    </w:p>
    <w:p>
      <w:pPr>
        <w:spacing w:after="120"/>
      </w:pPr>
    </w:p>
    <w:tbl>
      <w:tblPr>
        <w:tblW w:type="dxa" w:w="9350"/>
        <w:tblBorders>
          <w:top w:val="single" w:color="C00000" w:sz="4"/>
          <w:left w:val="single" w:color="C00000" w:sz="4"/>
          <w:bottom w:val="single" w:color="C00000" w:sz="4"/>
          <w:right w:val="single" w:color="C00000" w:sz="4"/>
          <w:insideH w:val="none" w:color="FFFFFF" w:sz="0"/>
          <w:insideV w:val="none" w:color="FFFFFF" w:sz="0"/>
        </w:tblBorders>
      </w:tblPr>
      <w:tblGrid>
        <w:gridCol w:w="9350"/>
      </w:tblGrid>
      <w:tr>
        <w:tc>
          <w:tcPr>
            <w:tcW w:type="dxa" w:w="9350"/>
            <w:shd w:fill="FCE4E4" w:color="auto" w:val="clear"/>
            <w:tcMar>
              <w:top w:type="dxa" w:w="140"/>
              <w:left w:type="dxa" w:w="180"/>
              <w:bottom w:type="dxa" w:w="140"/>
              <w:right w:type="dxa" w:w="180"/>
            </w:tcMar>
          </w:tcPr>
          <w:p>
            <w:pPr>
              <w:spacing w:after="60"/>
            </w:pPr>
            <w:r>
              <w:rPr>
                <w:b/>
                <w:bCs/>
                <w:color w:val="C00000"/>
              </w:rPr>
              <w:t xml:space="preserve">⚠ Point de vigilance impératif</w:t>
            </w:r>
          </w:p>
          <w:p>
            <w:pPr>
              <w:jc w:val="both"/>
            </w:pPr>
            <w:r>
              <w:t xml:space="preserve">En assurance santé individuelle, la donnée géographique/environnementale issue de ce projet ne peut pas être utilisée pour majorer ou minorer la prime d'un assuré en fonction de son lieu de résidence : le principe de mutualisation et l'interdiction de la discrimination territoriale l'excluent. « Tarification granulaire » signifie ici un usage au niveau du portefeuille (provisionnement, politique produit, zones de coût de soins objectives) — jamais une modulation individuelle du tarif d'un assuré sur la base de son exposition environnementale. Voir détail en section 4.8.</w:t>
            </w:r>
          </w:p>
        </w:tc>
      </w:tr>
    </w:tbl>
    <w:p>
      <w:pPr>
        <w:spacing w:after="120"/>
      </w:pPr>
    </w:p>
    <w:p>
      <w:pPr>
        <w:pStyle w:val="Heading1"/>
        <w:spacing w:after="160" w:before="320"/>
      </w:pPr>
      <w:r>
        <w:t xml:space="preserve">3. Architecture du projet</w:t>
      </w:r>
    </w:p>
    <w:p>
      <w:pPr>
        <w:pStyle w:val="Heading2"/>
        <w:spacing w:after="120" w:before="240"/>
      </w:pPr>
      <w:r>
        <w:t xml:space="preserve">3.1 Étape 1 — Segmentation géo-environnementale (non supervisée)</w:t>
      </w:r>
    </w:p>
    <w:p>
      <w:pPr>
        <w:spacing w:after="160"/>
        <w:jc w:val="both"/>
      </w:pPr>
      <w:r>
        <w:t xml:space="preserve">Plutôt que d'utiliser le simple nom du département, l'objectif est de construire des « zones de risque environnemental » qui résument la pression environnementale subie par un territoire.</w:t>
      </w:r>
    </w:p>
    <w:p>
      <w:pPr>
        <w:pStyle w:val="ListParagraph"/>
        <w:numPr>
          <w:ilvl w:val="0"/>
          <w:numId w:val="2"/>
        </w:numPr>
        <w:spacing w:after="80"/>
      </w:pPr>
      <w:r>
        <w:rPr>
          <w:b/>
          <w:bCs/>
        </w:rPr>
        <w:t xml:space="preserve">Variables utilisées : </w:t>
      </w:r>
      <w:r>
        <w:t xml:space="preserve">température moyenne / minimale / maximale, qualité de l'air, taux d'urbanisation, densité de structures hospitalières, etc.</w:t>
      </w:r>
    </w:p>
    <w:p>
      <w:pPr>
        <w:pStyle w:val="ListParagraph"/>
        <w:numPr>
          <w:ilvl w:val="0"/>
          <w:numId w:val="2"/>
        </w:numPr>
        <w:spacing w:after="80"/>
      </w:pPr>
      <w:r>
        <w:rPr>
          <w:b/>
          <w:bCs/>
        </w:rPr>
        <w:t xml:space="preserve">Algorithme : </w:t>
      </w:r>
      <w:r>
        <w:t xml:space="preserve">K-Means ou classification ascendante hiérarchique (CAH).</w:t>
      </w:r>
    </w:p>
    <w:p>
      <w:pPr>
        <w:pStyle w:val="ListParagraph"/>
        <w:numPr>
          <w:ilvl w:val="0"/>
          <w:numId w:val="2"/>
        </w:numPr>
        <w:spacing w:after="80"/>
      </w:pPr>
      <w:r>
        <w:rPr>
          <w:b/>
          <w:bCs/>
        </w:rPr>
        <w:t xml:space="preserve">Résultat : </w:t>
      </w:r>
      <w:r>
        <w:t xml:space="preserve">un identifiant de cluster («Cluster ID») par département.</w:t>
      </w:r>
    </w:p>
    <w:p>
      <w:pPr>
        <w:pStyle w:val="Heading2"/>
        <w:spacing w:after="120" w:before="240"/>
      </w:pPr>
      <w:r>
        <w:t xml:space="preserve">3.2 Étape 2 — Prédiction de la part relative des recours aux soins (supervisée)</w:t>
      </w:r>
    </w:p>
    <w:p>
      <w:pPr>
        <w:spacing w:after="160"/>
        <w:jc w:val="both"/>
      </w:pPr>
      <w:r>
        <w:t xml:space="preserve">Prédire taux_urgences (part des passages aux urgences attribuable à la pathologie) en intégrant le profil de la population et le contexte environnemental du département.</w:t>
      </w:r>
    </w:p>
    <w:p>
      <w:pPr>
        <w:pStyle w:val="ListParagraph"/>
        <w:numPr>
          <w:ilvl w:val="0"/>
          <w:numId w:val="2"/>
        </w:numPr>
        <w:spacing w:after="80"/>
      </w:pPr>
      <w:r>
        <w:rPr>
          <w:b/>
          <w:bCs/>
        </w:rPr>
        <w:t xml:space="preserve">Variables d'entrée : </w:t>
      </w:r>
      <w:r>
        <w:t xml:space="preserve">Cluster ID (étape 1) ; données démographiques (âge moyen, part des seniors +65 ans et des jeunes -30 ans) ; données CSP (taux de cadres, d'ouvriers, en surveillant les corrélations avec la géographie) ; saisonnalité (mois, indicateurs météorologiques récents).</w:t>
      </w:r>
    </w:p>
    <w:p>
      <w:pPr>
        <w:pStyle w:val="ListParagraph"/>
        <w:numPr>
          <w:ilvl w:val="0"/>
          <w:numId w:val="2"/>
        </w:numPr>
        <w:spacing w:after="80"/>
      </w:pPr>
      <w:r>
        <w:rPr>
          <w:b/>
          <w:bCs/>
        </w:rPr>
        <w:t xml:space="preserve">Algorithmes envisagés : </w:t>
      </w:r>
      <w:r>
        <w:t xml:space="preserve">XGBoost pour la performance, ou un réseau de neurones type LSTM pour capturer les tendances temporelles.</w:t>
      </w:r>
    </w:p>
    <w:p>
      <w:pPr>
        <w:pageBreakBefore/>
      </w:pPr>
      <w:r>
        <w:br/>
        <w:t xml:space="preserve"/>
      </w:r>
    </w:p>
    <w:p>
      <w:pPr>
        <w:pStyle w:val="Heading1"/>
        <w:spacing w:after="160" w:before="320"/>
      </w:pPr>
      <w:r>
        <w:t xml:space="preserve">4. Points de vigilance méthodologique</w:t>
      </w:r>
    </w:p>
    <w:p>
      <w:pPr>
        <w:spacing w:after="160"/>
        <w:jc w:val="both"/>
      </w:pPr>
      <w:r>
        <w:t xml:space="preserve">Cette section reprend l'architecture proposée et identifie les points à trancher ou à renforcer avant la mise en œuvre.</w:t>
      </w:r>
    </w:p>
    <w:p>
      <w:pPr>
        <w:pStyle w:val="Heading2"/>
        <w:spacing w:after="120" w:before="240"/>
      </w:pPr>
      <w:r>
        <w:t xml:space="preserve">4.1 Construction de la variable cible : limites et rôle de la population INSEE</w:t>
      </w:r>
    </w:p>
    <w:p>
      <w:pPr>
        <w:spacing w:after="160"/>
        <w:jc w:val="both"/>
      </w:pPr>
      <w:r>
        <w:t xml:space="preserve">Une définition classique du taux d'incidence suppose de diviser un nombre de cas par une population exposée (par exemple pour 100 000 habitants). Les fichiers Santé Publique France ne fournissent cependant pas les effectifs bruts (nombre de cas) : ils livrent uniquement le ratio déjà calculé taux_urgences, dont le dénominateur est l'activité du réseau OSCOUR® et non la population (détail en 4.2). Il est donc impossible, avec les seules données actuellement collectées, de reconstruire un véritable taux d'incidence en population générale — la variable cible taux_urgences est donc conservée telle quelle, sans tentative de re-normalisation par la population.</w:t>
      </w:r>
    </w:p>
    <w:p>
      <w:pPr>
        <w:spacing w:after="160"/>
        <w:jc w:val="both"/>
      </w:pPr>
      <w:r>
        <w:t xml:space="preserve">La population INSEE reste néanmoins utile, mais à un autre niveau : comme variable explicative (X) dans dim_geo_pop (pop_totale, part_seniors, part_jeunes, tx_urbain, densité médicale), pour aider à expliquer pourquoi taux_urgences varie d'un département à l'autre (ex. un département plus âgé peut avoir une part de pathologies respiratoires plus élevée parmi ses passages aux urgences) — et non pour redéfinir Y.</w:t>
      </w:r>
    </w:p>
    <w:p>
      <w:pPr>
        <w:spacing w:after="160"/>
        <w:jc w:val="both"/>
      </w:pPr>
      <w:r>
        <w:t xml:space="preserve">Source identifiée pour cette variable explicative : les « Populations légales » de l'INSEE ont un délai de publication d'environ 3 ans (le millésime 2021 est le plus récent disponible), ce qui ne couvre pas 2022-2025. La série la mieux adaptée est plutôt « Estimations de population par département, sexe et âge », publiée chaque année par l'INSEE et disponible en continu de 1975 à 2025 — elle couvre donc l'intégralité de la période d'étude sans rupture de série.</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Recommandation</w:t>
            </w:r>
          </w:p>
          <w:p>
            <w:pPr>
              <w:jc w:val="both"/>
            </w:pPr>
            <w:r>
              <w:t xml:space="preserve">Ne pas chercher à recalculer taux_urgences avec un dénominateur population : cela nécessiterait les effectifs bruts, non disponibles dans les fichiers Odissé actuels. Utiliser la série INSEE « Estimation de la population au 1er janvier 2025 » (fichier « estim-pop-dep-sexe-gca-1975-2025.xlsx », données par département/sexe/grande classe d'âge) comme source des variables explicatives de dim_geo_pop — un fichier unique couvre 2020 à 2025. Documenter explicitement cette limite (Y = part d'activité, X = population) dans le rapport.</w:t>
            </w:r>
          </w:p>
        </w:tc>
      </w:tr>
    </w:tbl>
    <w:p>
      <w:pPr>
        <w:spacing w:after="120"/>
      </w:pPr>
    </w:p>
    <w:p>
      <w:pPr>
        <w:pStyle w:val="Heading2"/>
        <w:spacing w:after="120" w:before="240"/>
      </w:pPr>
      <w:r>
        <w:t xml:space="preserve">4.2 Définition précise des indicateurs Santé Publique France</w:t>
      </w:r>
    </w:p>
    <w:p>
      <w:pPr>
        <w:spacing w:after="160"/>
        <w:jc w:val="both"/>
      </w:pPr>
      <w:r>
        <w:t xml:space="preserve">Les trois indicateurs fournis par Santé Publique France (réseau OSCOUR® et SOS Médecins) ne sont pas des taux d'incidence rapportés à la population, mais des taux rapportés à l'activité de soins elle-même, avec un dénominateur différent pour chacun :</w:t>
      </w:r>
    </w:p>
    <w:p>
      <w:pPr>
        <w:pStyle w:val="ListParagraph"/>
        <w:numPr>
          <w:ilvl w:val="0"/>
          <w:numId w:val="2"/>
        </w:numPr>
        <w:spacing w:after="80"/>
      </w:pPr>
      <w:r>
        <w:rPr>
          <w:b/>
          <w:bCs/>
        </w:rPr>
        <w:t xml:space="preserve">taux_urgences : </w:t>
      </w:r>
      <w:r>
        <w:t xml:space="preserve">nombre de passages aux urgences pour la pathologie, pour 100 000 passages aux urgences avec un diagnostic codé (toutes causes confondues), sur le même département / classe d'âge / semaine.</w:t>
      </w:r>
    </w:p>
    <w:p>
      <w:pPr>
        <w:pStyle w:val="ListParagraph"/>
        <w:numPr>
          <w:ilvl w:val="0"/>
          <w:numId w:val="2"/>
        </w:numPr>
        <w:spacing w:after="80"/>
      </w:pPr>
      <w:r>
        <w:rPr>
          <w:b/>
          <w:bCs/>
        </w:rPr>
        <w:t xml:space="preserve">taux_hosp : </w:t>
      </w:r>
      <w:r>
        <w:t xml:space="preserve">nombre d'hospitalisations après passage aux urgences pour la pathologie, pour 100 000 hospitalisations après passage avec un diagnostic renseigné (toutes causes). Ce taux mesure la part de la pathologie parmi les hospitalisations post-urgences, et non le risque d'hospitalisation parmi les patients de la pathologie.</w:t>
      </w:r>
    </w:p>
    <w:p>
      <w:pPr>
        <w:pStyle w:val="ListParagraph"/>
        <w:numPr>
          <w:ilvl w:val="0"/>
          <w:numId w:val="2"/>
        </w:numPr>
        <w:spacing w:after="80"/>
      </w:pPr>
      <w:r>
        <w:rPr>
          <w:b/>
          <w:bCs/>
        </w:rPr>
        <w:t xml:space="preserve">taux_sos : </w:t>
      </w:r>
      <w:r>
        <w:t xml:space="preserve">nombre d'actes SOS Médecins pour la pathologie, pour 100 000 actes SOS Médecins avec diagnostic renseigné — un circuit de soins différent (médecine de ville/à domicile), non hospitalier.</w:t>
      </w:r>
    </w:p>
    <w:p>
      <w:pPr>
        <w:spacing w:after="160"/>
        <w:jc w:val="both"/>
      </w:pPr>
      <w:r>
        <w:t xml:space="preserve">Ces trois indicateurs sont fournis tous âges et pour 3 classes d'âge (moins de 15 ans, 15-64 ans, 65 ans ou plus), par département. Santé Publique France précise explicitement que les taux ne doivent être ni agrégés entre départements, ni agrégés entre classes d'âge, car leurs dénominateurs diffèrent d'un sous-groupe à l'autre.</w:t>
      </w:r>
    </w:p>
    <w:p>
      <w:pPr>
        <w:spacing w:after="160"/>
        <w:jc w:val="both"/>
      </w:pPr>
      <w:r>
        <w:t xml:space="preserve">Conséquence méthodologique : un taux élevé dans un département peut refléter soit une réelle sur-incidence environnementale, soit simplement une structure d'activité des urgences localement différente (ex. moins de traumatologie, davantage de pathologies respiratoires) — deux explications indiscernables à ce stade avec les seules données actuellement disponibles.</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Recommandation</w:t>
            </w:r>
          </w:p>
          <w:p>
            <w:pPr>
              <w:jc w:val="both"/>
            </w:pPr>
            <w:r>
              <w:t xml:space="preserve">Retenir taux_urgences comme variable cible principale (Y), cohérente avec le titre du projet. Utiliser taux_hosp et taux_sos comme variables de contrôle ou de croisement plutôt que comme cibles alternatives, sans les agréger entre eux ni avec taux_urgences, ni entre classes d'âge ou départements. Documenter explicitement dans le rapport que ces taux sont des taux d'activité (part parmi les passages / hospitalisations / actes avec diagnostic codé) et non des taux d'incidence en population générale — voir 4.1 sur le rôle de la population INSEE comme variable explicative plutôt que comme dénominateur de Y.</w:t>
            </w:r>
          </w:p>
        </w:tc>
      </w:tr>
    </w:tbl>
    <w:p>
      <w:pPr>
        <w:spacing w:after="120"/>
      </w:pPr>
    </w:p>
    <w:p>
      <w:pPr>
        <w:pStyle w:val="Heading2"/>
        <w:spacing w:after="120" w:before="240"/>
      </w:pPr>
      <w:r>
        <w:t xml:space="preserve">4.3 Rupture structurelle liée au contexte 2020-2025</w:t>
      </w:r>
    </w:p>
    <w:p>
      <w:pPr>
        <w:spacing w:after="160"/>
        <w:jc w:val="both"/>
      </w:pPr>
      <w:r>
        <w:t xml:space="preserve">La période choisie inclut la pandémie de COVID-19 (confinements, recours aux soins fortement perturbé), l'épidémie exceptionnelle de bronchiolite de l'automne 2022, et une pénurie de médicaments courants sur 2022-2023. Ces chocs créent des ruptures de tendance qui ne reflètent pas la relation «environnement → incidence» recherchée.</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Recommandation</w:t>
            </w:r>
          </w:p>
          <w:p>
            <w:pPr>
              <w:jc w:val="both"/>
            </w:pPr>
            <w:r>
              <w:t xml:space="preserve">Introduire une variable de contrôle explicite (indicatrice «période COVID» / «épidémie exceptionnelle») ou traiter ces épisodes séparément en analyse de sensibilité.</w:t>
            </w:r>
          </w:p>
        </w:tc>
      </w:tr>
    </w:tbl>
    <w:p>
      <w:pPr>
        <w:spacing w:after="120"/>
      </w:pPr>
    </w:p>
    <w:p>
      <w:pPr>
        <w:pStyle w:val="Heading2"/>
        <w:spacing w:after="120" w:before="240"/>
      </w:pPr>
      <w:r>
        <w:t xml:space="preserve">4.4 Valeur ajoutée et stabilité du clustering</w:t>
      </w:r>
    </w:p>
    <w:p>
      <w:pPr>
        <w:spacing w:after="160"/>
        <w:jc w:val="both"/>
      </w:pPr>
      <w:r>
        <w:t xml:space="preserve">Les variables retenues pour le clustering (température moyenne, pollution, urbanisation, densité hospitalière) sont quasi stables dans le temps à l'échelle d'un département. Le Cluster ID obtenu sera donc constant dans le temps et proche, en pratique, d'une simple recodification du département en catégorie plus grossière. Avec 96 départements (France métropolitaine) comme individus statistiques, le clustering peut être instable et sensible au choix du nombre de clusters K.</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Recommandation</w:t>
            </w:r>
          </w:p>
          <w:p>
            <w:pPr>
              <w:jc w:val="both"/>
            </w:pPr>
            <w:r>
              <w:t xml:space="preserve">Justifier le nombre de clusters via une méthode objective (indice de silhouette, méthode du coude) et démontrer la valeur ajoutée du Cluster ID par rapport à l'utilisation directe du département comme variable catégorielle.</w:t>
            </w:r>
          </w:p>
        </w:tc>
      </w:tr>
    </w:tbl>
    <w:p>
      <w:pPr>
        <w:spacing w:after="120"/>
      </w:pPr>
    </w:p>
    <w:p>
      <w:pPr>
        <w:pStyle w:val="Heading2"/>
        <w:spacing w:after="120" w:before="240"/>
      </w:pPr>
      <w:r>
        <w:t xml:space="preserve">4.5 Choix des algorithmes de prédiction</w:t>
      </w:r>
    </w:p>
    <w:p>
      <w:pPr>
        <w:spacing w:after="160"/>
        <w:jc w:val="both"/>
      </w:pPr>
      <w:r>
        <w:t xml:space="preserve">XGBoost et un LSTM répondent à des logiques différentes. Le LSTM suppose une séquence temporelle par département ; avec seulement 60 à 72 points mensuels par département sur 2020-2025, le risque de sur-apprentissage est élevé. Ces deux approches restent par ailleurs peu interprétables, alors qu'en actuariat la justification des facteurs de tarification est un enjeu réglementaire fort.</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Recommandation</w:t>
            </w:r>
          </w:p>
          <w:p>
            <w:pPr>
              <w:jc w:val="both"/>
            </w:pPr>
            <w:r>
              <w:t xml:space="preserve">Ajouter un modèle de référence interprétable de type GLM Poisson ou binomiale négative avec un offset log(population), standard en actuariat pour modéliser des taux de comptage. Compléter XGBoost par une analyse SHAP. Réserver le LSTM à une phase d'approfondissement si le volume de données le justifie.</w:t>
            </w:r>
          </w:p>
        </w:tc>
      </w:tr>
    </w:tbl>
    <w:p>
      <w:pPr>
        <w:spacing w:after="120"/>
      </w:pPr>
    </w:p>
    <w:p>
      <w:pPr>
        <w:pStyle w:val="Heading2"/>
        <w:spacing w:after="120" w:before="240"/>
      </w:pPr>
      <w:r>
        <w:t xml:space="preserve">4.6 Décalage de fréquence entre les sources</w:t>
      </w:r>
    </w:p>
    <w:p>
      <w:pPr>
        <w:spacing w:after="160"/>
        <w:jc w:val="both"/>
      </w:pPr>
      <w:r>
        <w:t xml:space="preserve">La variable cible est mensuelle, la météo peut être quotidienne, mais la démographie et la CSP proviennent du recensement INSEE, disponible à une fréquence annuelle voire pluriannuelle. Ce décalage impose un choix explicite : interpolation, dernière valeur connue, ou agrégation annuelle du modèle.</w:t>
      </w:r>
    </w:p>
    <w:p>
      <w:pPr>
        <w:pStyle w:val="Heading2"/>
        <w:spacing w:after="120" w:before="240"/>
      </w:pPr>
      <w:r>
        <w:t xml:space="preserve">4.7 Cadrage géographique : métropole et outre-mer</w:t>
      </w:r>
    </w:p>
    <w:p>
      <w:pPr>
        <w:spacing w:after="160"/>
        <w:jc w:val="both"/>
      </w:pPr>
      <w:r>
        <w:t xml:space="preserve">Les DOM présentent des climats et des profils épidémiologiques très différents de la France métropolitaine. Les mélanger dans un même clustering environnemental risque de créer des clusters artificiels dominés par ce contraste.</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Recommandation</w:t>
            </w:r>
          </w:p>
          <w:p>
            <w:pPr>
              <w:jc w:val="both"/>
            </w:pPr>
            <w:r>
              <w:t xml:space="preserve">Traiter séparément la France métropolitaine et les DOM, ou a minima le signaler explicitement comme choix de cadrage.</w:t>
            </w:r>
          </w:p>
        </w:tc>
      </w:tr>
    </w:tbl>
    <w:p>
      <w:pPr>
        <w:spacing w:after="120"/>
      </w:pPr>
    </w:p>
    <w:p>
      <w:pPr>
        <w:pStyle w:val="Heading2"/>
        <w:spacing w:after="120" w:before="240"/>
      </w:pPr>
      <w:r>
        <w:t xml:space="preserve">4.8 Enjeux réglementaires et éthiques</w:t>
      </w:r>
    </w:p>
    <w:p>
      <w:pPr>
        <w:spacing w:after="160"/>
        <w:jc w:val="both"/>
      </w:pPr>
      <w:r>
        <w:t xml:space="preserve">La segmentation géographique en assurance santé individuelle est strictement encadrée en France par le principe de mutualisation, l'interdiction de la discrimination territoriale, le code des assurances et les exigences de justification sous Solvabilité II. Concrètement : le Cluster ID (ou tout indice dérivé de l'exposition environnementale) ne doit pas servir à majorer ou minorer individuellement la prime d'un assuré en fonction de son lieu de résidence — ce type d'usage constituerait une discrimination territoriale et va à l'encontre du principe de mutualisation qui fonde l'assurance santé individuelle.</w:t>
      </w:r>
    </w:p>
    <w:p>
      <w:pPr>
        <w:spacing w:after="160"/>
        <w:jc w:val="both"/>
      </w:pPr>
      <w:r>
        <w:t xml:space="preserve">Les usages légitimes de cette donnée se situent à un autre niveau : pilotage de la sinistralité au niveau du portefeuille (provisionnement, anticipation des pics saisonniers), conception de services de prévention ciblés (sans lien avec le montant de la prime), ou éclairage d'une politique de zones tarifaires fondée sur des écarts de coûts de soins objectifs (dépassements d'honoraires, densité médicale) — une pratique différente de la modulation par risque environnemental individuel.</w:t>
      </w:r>
    </w:p>
    <w:tbl>
      <w:tblPr>
        <w:tblW w:type="dxa" w:w="9350"/>
        <w:tblBorders>
          <w:top w:val="single" w:color="2E74B5" w:sz="4"/>
          <w:left w:val="single" w:color="2E74B5" w:sz="4"/>
          <w:bottom w:val="single" w:color="2E74B5" w:sz="4"/>
          <w:right w:val="single" w:color="2E74B5" w:sz="4"/>
          <w:insideH w:val="none" w:color="FFFFFF" w:sz="0"/>
          <w:insideV w:val="none" w:color="FFFFFF" w:sz="0"/>
        </w:tblBorders>
      </w:tblPr>
      <w:tblGrid>
        <w:gridCol w:w="9350"/>
      </w:tblGrid>
      <w:tr>
        <w:tc>
          <w:tcPr>
            <w:tcW w:type="dxa" w:w="9350"/>
            <w:shd w:fill="DCE6F1" w:color="auto" w:val="clear"/>
            <w:tcMar>
              <w:top w:type="dxa" w:w="140"/>
              <w:left w:type="dxa" w:w="180"/>
              <w:bottom w:type="dxa" w:w="140"/>
              <w:right w:type="dxa" w:w="180"/>
            </w:tcMar>
          </w:tcPr>
          <w:p>
            <w:pPr>
              <w:spacing w:after="60"/>
            </w:pPr>
            <w:r>
              <w:rPr>
                <w:b/>
                <w:bCs/>
                <w:color w:val="1F3864"/>
              </w:rPr>
              <w:t xml:space="preserve">Recommandation</w:t>
            </w:r>
          </w:p>
          <w:p>
            <w:pPr>
              <w:jc w:val="both"/>
            </w:pPr>
            <w:r>
              <w:t xml:space="preserve">Faire figurer explicitement cette limite dans le rapport final et la soutenance : préciser que le modèle sert à la gestion de portefeuille et à la prévention, pas à la tarification individuelle par géolocalisation. En cas de doute sur un usage spécifique, consulter la fonction juridique/conformité plutôt que de trancher seuls — ce point dépasse le cadre technique du projet.</w:t>
            </w:r>
          </w:p>
        </w:tc>
      </w:tr>
    </w:tbl>
    <w:p>
      <w:pPr>
        <w:spacing w:after="120"/>
      </w:pPr>
    </w:p>
    <w:p>
      <w:pPr>
        <w:pStyle w:val="Heading2"/>
        <w:spacing w:after="120" w:before="240"/>
      </w:pPr>
      <w:r>
        <w:t xml:space="preserve">4.9 Indicateurs de performance à définir</w:t>
      </w:r>
    </w:p>
    <w:p>
      <w:pPr>
        <w:spacing w:after="160"/>
        <w:jc w:val="both"/>
      </w:pPr>
      <w:r>
        <w:t xml:space="preserve">Pour un modèle de comptage/taux, la déviance de Poisson, le RMSE et le MAE sur le taux prédit sont pertinents, ainsi qu'une validation croisée respectant l'ordre chronologique pour éviter toute fuite d'information depuis le futur.</w:t>
      </w:r>
    </w:p>
    <w:p>
      <w:pPr>
        <w:pageBreakBefore/>
      </w:pPr>
      <w:r>
        <w:br/>
        <w:t xml:space="preserve"/>
      </w:r>
    </w:p>
    <w:p>
      <w:pPr>
        <w:pStyle w:val="Heading1"/>
        <w:spacing w:after="160" w:before="320"/>
      </w:pPr>
      <w:r>
        <w:t xml:space="preserve">5. Synthèse des recommandations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3864" w:color="auto" w:val="clear"/>
            <w:tcMar>
              <w:top w:type="dxa" w:w="100"/>
              <w:left w:type="dxa" w:w="120"/>
              <w:bottom w:type="dxa" w:w="100"/>
              <w:right w:type="dxa" w:w="120"/>
            </w:tcMar>
          </w:tcPr>
          <w:p>
            <w:r>
              <w:rPr>
                <w:b/>
                <w:bCs/>
                <w:color w:val="FFFFFF"/>
                <w:sz w:val="19"/>
                <w:szCs w:val="19"/>
              </w:rPr>
              <w:t xml:space="preserve">Enjeu</w:t>
            </w:r>
          </w:p>
        </w:tc>
        <w:tc>
          <w:tcPr>
            <w:tcW w:type="dxa" w:w="6250"/>
            <w:shd w:fill="1F3864" w:color="auto" w:val="clear"/>
            <w:tcMar>
              <w:top w:type="dxa" w:w="100"/>
              <w:left w:type="dxa" w:w="120"/>
              <w:bottom w:type="dxa" w:w="100"/>
              <w:right w:type="dxa" w:w="120"/>
            </w:tcMar>
          </w:tcPr>
          <w:p>
            <w:r>
              <w:rPr>
                <w:b/>
                <w:bCs/>
                <w:color w:val="FFFFFF"/>
                <w:sz w:val="19"/>
                <w:szCs w:val="19"/>
              </w:rPr>
              <w:t xml:space="preserve">Recommandation</w:t>
            </w:r>
          </w:p>
        </w:tc>
      </w:tr>
      <w:tr>
        <w:trPr>
          <w:tblHeader w:val="false"/>
        </w:trPr>
        <w:tc>
          <w:tcPr>
            <w:tcW w:type="dxa" w:w="3100"/>
            <w:tcMar>
              <w:top w:type="dxa" w:w="100"/>
              <w:left w:type="dxa" w:w="120"/>
              <w:bottom w:type="dxa" w:w="100"/>
              <w:right w:type="dxa" w:w="120"/>
            </w:tcMar>
          </w:tcPr>
          <w:p>
            <w:r>
              <w:rPr>
                <w:b w:val="false"/>
                <w:bCs w:val="false"/>
                <w:sz w:val="19"/>
                <w:szCs w:val="19"/>
              </w:rPr>
              <w:t xml:space="preserve">Rôle de la population INSEE</w:t>
            </w:r>
          </w:p>
        </w:tc>
        <w:tc>
          <w:tcPr>
            <w:tcW w:type="dxa" w:w="6250"/>
            <w:tcMar>
              <w:top w:type="dxa" w:w="100"/>
              <w:left w:type="dxa" w:w="120"/>
              <w:bottom w:type="dxa" w:w="100"/>
              <w:right w:type="dxa" w:w="120"/>
            </w:tcMar>
          </w:tcPr>
          <w:p>
            <w:r>
              <w:rPr>
                <w:b w:val="false"/>
                <w:bCs w:val="false"/>
                <w:sz w:val="19"/>
                <w:szCs w:val="19"/>
              </w:rPr>
              <w:t xml:space="preserve">Ne pas recalculer taux_urgences avec un dénominateur population (effectifs bruts indisponibles) ; utiliser la population INSEE comme variable explicative (X) dans dim_geo_pop, pas pour redéfinir Y</w:t>
            </w:r>
          </w:p>
        </w:tc>
      </w:tr>
      <w:tr>
        <w:trPr>
          <w:tblHeader w:val="false"/>
        </w:trPr>
        <w:tc>
          <w:tcPr>
            <w:tcW w:type="dxa" w:w="3100"/>
            <w:shd w:fill="DCE6F1" w:color="auto" w:val="clear"/>
            <w:tcMar>
              <w:top w:type="dxa" w:w="100"/>
              <w:left w:type="dxa" w:w="120"/>
              <w:bottom w:type="dxa" w:w="100"/>
              <w:right w:type="dxa" w:w="120"/>
            </w:tcMar>
          </w:tcPr>
          <w:p>
            <w:r>
              <w:rPr>
                <w:b w:val="false"/>
                <w:bCs w:val="false"/>
                <w:sz w:val="19"/>
                <w:szCs w:val="19"/>
              </w:rPr>
              <w:t xml:space="preserve">Définition des taux SPF</w:t>
            </w:r>
          </w:p>
        </w:tc>
        <w:tc>
          <w:tcPr>
            <w:tcW w:type="dxa" w:w="6250"/>
            <w:shd w:fill="DCE6F1" w:color="auto" w:val="clear"/>
            <w:tcMar>
              <w:top w:type="dxa" w:w="100"/>
              <w:left w:type="dxa" w:w="120"/>
              <w:bottom w:type="dxa" w:w="100"/>
              <w:right w:type="dxa" w:w="120"/>
            </w:tcMar>
          </w:tcPr>
          <w:p>
            <w:r>
              <w:rPr>
                <w:b w:val="false"/>
                <w:bCs w:val="false"/>
                <w:sz w:val="19"/>
                <w:szCs w:val="19"/>
              </w:rPr>
              <w:t xml:space="preserve">taux_urgences/hosp/sos ont 3 dénominateurs différents (activité, pas population) ; retenir taux_urgences comme Y, ne pas agréger entre eux/classes d'âge/départements</w:t>
            </w:r>
          </w:p>
        </w:tc>
      </w:tr>
      <w:tr>
        <w:trPr>
          <w:tblHeader w:val="false"/>
        </w:trPr>
        <w:tc>
          <w:tcPr>
            <w:tcW w:type="dxa" w:w="3100"/>
            <w:tcMar>
              <w:top w:type="dxa" w:w="100"/>
              <w:left w:type="dxa" w:w="120"/>
              <w:bottom w:type="dxa" w:w="100"/>
              <w:right w:type="dxa" w:w="120"/>
            </w:tcMar>
          </w:tcPr>
          <w:p>
            <w:r>
              <w:rPr>
                <w:b w:val="false"/>
                <w:bCs w:val="false"/>
                <w:sz w:val="19"/>
                <w:szCs w:val="19"/>
              </w:rPr>
              <w:t xml:space="preserve">Ruptures 2020-2023</w:t>
            </w:r>
          </w:p>
        </w:tc>
        <w:tc>
          <w:tcPr>
            <w:tcW w:type="dxa" w:w="6250"/>
            <w:tcMar>
              <w:top w:type="dxa" w:w="100"/>
              <w:left w:type="dxa" w:w="120"/>
              <w:bottom w:type="dxa" w:w="100"/>
              <w:right w:type="dxa" w:w="120"/>
            </w:tcMar>
          </w:tcPr>
          <w:p>
            <w:r>
              <w:rPr>
                <w:b w:val="false"/>
                <w:bCs w:val="false"/>
                <w:sz w:val="19"/>
                <w:szCs w:val="19"/>
              </w:rPr>
              <w:t xml:space="preserve">Ajouter une variable de contrôle pour les périodes atypiques (COVID, épidémie de bronchiolite 2022)</w:t>
            </w:r>
          </w:p>
        </w:tc>
      </w:tr>
      <w:tr>
        <w:trPr>
          <w:tblHeader w:val="false"/>
        </w:trPr>
        <w:tc>
          <w:tcPr>
            <w:tcW w:type="dxa" w:w="3100"/>
            <w:shd w:fill="DCE6F1" w:color="auto" w:val="clear"/>
            <w:tcMar>
              <w:top w:type="dxa" w:w="100"/>
              <w:left w:type="dxa" w:w="120"/>
              <w:bottom w:type="dxa" w:w="100"/>
              <w:right w:type="dxa" w:w="120"/>
            </w:tcMar>
          </w:tcPr>
          <w:p>
            <w:r>
              <w:rPr>
                <w:b w:val="false"/>
                <w:bCs w:val="false"/>
                <w:sz w:val="19"/>
                <w:szCs w:val="19"/>
              </w:rPr>
              <w:t xml:space="preserve">Clustering</w:t>
            </w:r>
          </w:p>
        </w:tc>
        <w:tc>
          <w:tcPr>
            <w:tcW w:type="dxa" w:w="6250"/>
            <w:shd w:fill="DCE6F1" w:color="auto" w:val="clear"/>
            <w:tcMar>
              <w:top w:type="dxa" w:w="100"/>
              <w:left w:type="dxa" w:w="120"/>
              <w:bottom w:type="dxa" w:w="100"/>
              <w:right w:type="dxa" w:w="120"/>
            </w:tcMar>
          </w:tcPr>
          <w:p>
            <w:r>
              <w:rPr>
                <w:b w:val="false"/>
                <w:bCs w:val="false"/>
                <w:sz w:val="19"/>
                <w:szCs w:val="19"/>
              </w:rPr>
              <w:t xml:space="preserve">Justifier K par silhouette/coude ; démontrer la valeur ajoutée vs. département brut</w:t>
            </w:r>
          </w:p>
        </w:tc>
      </w:tr>
      <w:tr>
        <w:trPr>
          <w:tblHeader w:val="false"/>
        </w:trPr>
        <w:tc>
          <w:tcPr>
            <w:tcW w:type="dxa" w:w="3100"/>
            <w:tcMar>
              <w:top w:type="dxa" w:w="100"/>
              <w:left w:type="dxa" w:w="120"/>
              <w:bottom w:type="dxa" w:w="100"/>
              <w:right w:type="dxa" w:w="120"/>
            </w:tcMar>
          </w:tcPr>
          <w:p>
            <w:r>
              <w:rPr>
                <w:b w:val="false"/>
                <w:bCs w:val="false"/>
                <w:sz w:val="19"/>
                <w:szCs w:val="19"/>
              </w:rPr>
              <w:t xml:space="preserve">Modélisation</w:t>
            </w:r>
          </w:p>
        </w:tc>
        <w:tc>
          <w:tcPr>
            <w:tcW w:type="dxa" w:w="6250"/>
            <w:tcMar>
              <w:top w:type="dxa" w:w="100"/>
              <w:left w:type="dxa" w:w="120"/>
              <w:bottom w:type="dxa" w:w="100"/>
              <w:right w:type="dxa" w:w="120"/>
            </w:tcMar>
          </w:tcPr>
          <w:p>
            <w:r>
              <w:rPr>
                <w:b w:val="false"/>
                <w:bCs w:val="false"/>
                <w:sz w:val="19"/>
                <w:szCs w:val="19"/>
              </w:rPr>
              <w:t xml:space="preserve">Ajouter un GLM Poisson/binomiale négative avec offset comme référence interprétable ; SHAP si XGBoost</w:t>
            </w:r>
          </w:p>
        </w:tc>
      </w:tr>
      <w:tr>
        <w:trPr>
          <w:tblHeader w:val="false"/>
        </w:trPr>
        <w:tc>
          <w:tcPr>
            <w:tcW w:type="dxa" w:w="3100"/>
            <w:shd w:fill="DCE6F1" w:color="auto" w:val="clear"/>
            <w:tcMar>
              <w:top w:type="dxa" w:w="100"/>
              <w:left w:type="dxa" w:w="120"/>
              <w:bottom w:type="dxa" w:w="100"/>
              <w:right w:type="dxa" w:w="120"/>
            </w:tcMar>
          </w:tcPr>
          <w:p>
            <w:r>
              <w:rPr>
                <w:b w:val="false"/>
                <w:bCs w:val="false"/>
                <w:sz w:val="19"/>
                <w:szCs w:val="19"/>
              </w:rPr>
              <w:t xml:space="preserve">Fréquence des données</w:t>
            </w:r>
          </w:p>
        </w:tc>
        <w:tc>
          <w:tcPr>
            <w:tcW w:type="dxa" w:w="6250"/>
            <w:shd w:fill="DCE6F1" w:color="auto" w:val="clear"/>
            <w:tcMar>
              <w:top w:type="dxa" w:w="100"/>
              <w:left w:type="dxa" w:w="120"/>
              <w:bottom w:type="dxa" w:w="100"/>
              <w:right w:type="dxa" w:w="120"/>
            </w:tcMar>
          </w:tcPr>
          <w:p>
            <w:r>
              <w:rPr>
                <w:b w:val="false"/>
                <w:bCs w:val="false"/>
                <w:sz w:val="19"/>
                <w:szCs w:val="19"/>
              </w:rPr>
              <w:t xml:space="preserve">Documenter explicitement la méthode d'alignement mensuel/annuel (interpolation ou valeur figée)</w:t>
            </w:r>
          </w:p>
        </w:tc>
      </w:tr>
      <w:tr>
        <w:trPr>
          <w:tblHeader w:val="false"/>
        </w:trPr>
        <w:tc>
          <w:tcPr>
            <w:tcW w:type="dxa" w:w="3100"/>
            <w:tcMar>
              <w:top w:type="dxa" w:w="100"/>
              <w:left w:type="dxa" w:w="120"/>
              <w:bottom w:type="dxa" w:w="100"/>
              <w:right w:type="dxa" w:w="120"/>
            </w:tcMar>
          </w:tcPr>
          <w:p>
            <w:r>
              <w:rPr>
                <w:b w:val="false"/>
                <w:bCs w:val="false"/>
                <w:sz w:val="19"/>
                <w:szCs w:val="19"/>
              </w:rPr>
              <w:t xml:space="preserve">Périmètre géographique</w:t>
            </w:r>
          </w:p>
        </w:tc>
        <w:tc>
          <w:tcPr>
            <w:tcW w:type="dxa" w:w="6250"/>
            <w:tcMar>
              <w:top w:type="dxa" w:w="100"/>
              <w:left w:type="dxa" w:w="120"/>
              <w:bottom w:type="dxa" w:w="100"/>
              <w:right w:type="dxa" w:w="120"/>
            </w:tcMar>
          </w:tcPr>
          <w:p>
            <w:r>
              <w:rPr>
                <w:b w:val="false"/>
                <w:bCs w:val="false"/>
                <w:sz w:val="19"/>
                <w:szCs w:val="19"/>
              </w:rPr>
              <w:t xml:space="preserve">Séparer métropole et DOM, ou le justifier explicitement</w:t>
            </w:r>
          </w:p>
        </w:tc>
      </w:tr>
      <w:tr>
        <w:trPr>
          <w:tblHeader w:val="false"/>
        </w:trPr>
        <w:tc>
          <w:tcPr>
            <w:tcW w:type="dxa" w:w="3100"/>
            <w:shd w:fill="DCE6F1" w:color="auto" w:val="clear"/>
            <w:tcMar>
              <w:top w:type="dxa" w:w="100"/>
              <w:left w:type="dxa" w:w="120"/>
              <w:bottom w:type="dxa" w:w="100"/>
              <w:right w:type="dxa" w:w="120"/>
            </w:tcMar>
          </w:tcPr>
          <w:p>
            <w:r>
              <w:rPr>
                <w:b w:val="false"/>
                <w:bCs w:val="false"/>
                <w:sz w:val="19"/>
                <w:szCs w:val="19"/>
              </w:rPr>
              <w:t xml:space="preserve">Cadre réglementaire</w:t>
            </w:r>
          </w:p>
        </w:tc>
        <w:tc>
          <w:tcPr>
            <w:tcW w:type="dxa" w:w="6250"/>
            <w:shd w:fill="DCE6F1" w:color="auto" w:val="clear"/>
            <w:tcMar>
              <w:top w:type="dxa" w:w="100"/>
              <w:left w:type="dxa" w:w="120"/>
              <w:bottom w:type="dxa" w:w="100"/>
              <w:right w:type="dxa" w:w="120"/>
            </w:tcMar>
          </w:tcPr>
          <w:p>
            <w:r>
              <w:rPr>
                <w:b w:val="false"/>
                <w:bCs w:val="false"/>
                <w:sz w:val="19"/>
                <w:szCs w:val="19"/>
              </w:rPr>
              <w:t xml:space="preserve">Ne jamais moduler individuellement une prime santé selon le lieu de résidence (mutualisation, non-discrimination territoriale) ; réserver l'usage au pilotage de portefeuille et à la prévention</w:t>
            </w:r>
          </w:p>
        </w:tc>
      </w:tr>
      <w:tr>
        <w:trPr>
          <w:tblHeader w:val="false"/>
        </w:trPr>
        <w:tc>
          <w:tcPr>
            <w:tcW w:type="dxa" w:w="3100"/>
            <w:tcMar>
              <w:top w:type="dxa" w:w="100"/>
              <w:left w:type="dxa" w:w="120"/>
              <w:bottom w:type="dxa" w:w="100"/>
              <w:right w:type="dxa" w:w="120"/>
            </w:tcMar>
          </w:tcPr>
          <w:p>
            <w:r>
              <w:rPr>
                <w:b w:val="false"/>
                <w:bCs w:val="false"/>
                <w:sz w:val="19"/>
                <w:szCs w:val="19"/>
              </w:rPr>
              <w:t xml:space="preserve">Évaluation</w:t>
            </w:r>
          </w:p>
        </w:tc>
        <w:tc>
          <w:tcPr>
            <w:tcW w:type="dxa" w:w="6250"/>
            <w:tcMar>
              <w:top w:type="dxa" w:w="100"/>
              <w:left w:type="dxa" w:w="120"/>
              <w:bottom w:type="dxa" w:w="100"/>
              <w:right w:type="dxa" w:w="120"/>
            </w:tcMar>
          </w:tcPr>
          <w:p>
            <w:r>
              <w:rPr>
                <w:b w:val="false"/>
                <w:bCs w:val="false"/>
                <w:sz w:val="19"/>
                <w:szCs w:val="19"/>
              </w:rPr>
              <w:t xml:space="preserve">Définir les métriques (déviance de Poisson, RMSE, MAE) et une validation croisée temporelle</w:t>
            </w:r>
          </w:p>
        </w:tc>
      </w:tr>
    </w:tbl>
    <w:p>
      <w:pPr>
        <w:spacing w:after="200"/>
      </w:pPr>
    </w:p>
    <w:p>
      <w:pPr>
        <w:pageBreakBefore/>
      </w:pPr>
      <w:r>
        <w:br/>
        <w:t xml:space="preserve"/>
      </w:r>
    </w:p>
    <w:p>
      <w:pPr>
        <w:pStyle w:val="Heading1"/>
        <w:spacing w:after="160" w:before="320"/>
      </w:pPr>
      <w:r>
        <w:t xml:space="preserve">6. Les bases de données</w:t>
      </w:r>
    </w:p>
    <w:p>
      <w:pPr>
        <w:spacing w:after="160"/>
        <w:jc w:val="both"/>
      </w:pPr>
      <w:r>
        <w:t xml:space="preserve">Le projet repose exclusivement sur des bases de données externes. Les sources marquées (*) sont des ajouts proposés par rapport au périmètre initial (voir section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100"/>
              <w:left w:type="dxa" w:w="120"/>
              <w:bottom w:type="dxa" w:w="100"/>
              <w:right w:type="dxa" w:w="120"/>
            </w:tcMar>
          </w:tcPr>
          <w:p>
            <w:r>
              <w:rPr>
                <w:b/>
                <w:bCs/>
                <w:color w:val="FFFFFF"/>
                <w:sz w:val="19"/>
                <w:szCs w:val="19"/>
              </w:rPr>
              <w:t xml:space="preserve">Catégorie</w:t>
            </w:r>
          </w:p>
        </w:tc>
        <w:tc>
          <w:tcPr>
            <w:tcW w:type="dxa" w:w="6750"/>
            <w:shd w:fill="1F3864" w:color="auto" w:val="clear"/>
            <w:tcMar>
              <w:top w:type="dxa" w:w="100"/>
              <w:left w:type="dxa" w:w="120"/>
              <w:bottom w:type="dxa" w:w="100"/>
              <w:right w:type="dxa" w:w="120"/>
            </w:tcMar>
          </w:tcPr>
          <w:p>
            <w:r>
              <w:rPr>
                <w:b/>
                <w:bCs/>
                <w:color w:val="FFFFFF"/>
                <w:sz w:val="19"/>
                <w:szCs w:val="19"/>
              </w:rPr>
              <w:t xml:space="preserve">Source de données</w:t>
            </w:r>
          </w:p>
        </w:tc>
      </w:tr>
      <w:tr>
        <w:trPr>
          <w:tblHeader w:val="false"/>
        </w:trPr>
        <w:tc>
          <w:tcPr>
            <w:tcW w:type="dxa" w:w="2600"/>
            <w:tcMar>
              <w:top w:type="dxa" w:w="100"/>
              <w:left w:type="dxa" w:w="120"/>
              <w:bottom w:type="dxa" w:w="100"/>
              <w:right w:type="dxa" w:w="120"/>
            </w:tcMar>
          </w:tcPr>
          <w:p>
            <w:r>
              <w:rPr>
                <w:b w:val="false"/>
                <w:bCs w:val="false"/>
                <w:sz w:val="19"/>
                <w:szCs w:val="19"/>
              </w:rPr>
              <w:t xml:space="preserve">Variable cible (Y)</w:t>
            </w:r>
          </w:p>
        </w:tc>
        <w:tc>
          <w:tcPr>
            <w:tcW w:type="dxa" w:w="6750"/>
            <w:tcMar>
              <w:top w:type="dxa" w:w="100"/>
              <w:left w:type="dxa" w:w="120"/>
              <w:bottom w:type="dxa" w:w="100"/>
              <w:right w:type="dxa" w:w="120"/>
            </w:tcMar>
          </w:tcPr>
          <w:p>
            <w:r>
              <w:rPr>
                <w:b w:val="false"/>
                <w:bCs w:val="false"/>
                <w:sz w:val="19"/>
                <w:szCs w:val="19"/>
              </w:rPr>
              <w:t xml:space="preserve">Santé Publique France : passages aux urgences pour asthme, allergies ou bronchiolite (2020-2025)</w:t>
            </w:r>
          </w:p>
        </w:tc>
      </w:tr>
      <w:tr>
        <w:trPr>
          <w:tblHeader w:val="false"/>
        </w:trPr>
        <w:tc>
          <w:tcPr>
            <w:tcW w:type="dxa" w:w="2600"/>
            <w:shd w:fill="DCE6F1" w:color="auto" w:val="clear"/>
            <w:tcMar>
              <w:top w:type="dxa" w:w="100"/>
              <w:left w:type="dxa" w:w="120"/>
              <w:bottom w:type="dxa" w:w="100"/>
              <w:right w:type="dxa" w:w="120"/>
            </w:tcMar>
          </w:tcPr>
          <w:p>
            <w:r>
              <w:rPr>
                <w:b w:val="false"/>
                <w:bCs w:val="false"/>
                <w:sz w:val="19"/>
                <w:szCs w:val="19"/>
              </w:rPr>
              <w:t xml:space="preserve">Population (variable explicative) (*)</w:t>
            </w:r>
          </w:p>
        </w:tc>
        <w:tc>
          <w:tcPr>
            <w:tcW w:type="dxa" w:w="6750"/>
            <w:shd w:fill="DCE6F1" w:color="auto" w:val="clear"/>
            <w:tcMar>
              <w:top w:type="dxa" w:w="100"/>
              <w:left w:type="dxa" w:w="120"/>
              <w:bottom w:type="dxa" w:w="100"/>
              <w:right w:type="dxa" w:w="120"/>
            </w:tcMar>
          </w:tcPr>
          <w:p>
            <w:r>
              <w:rPr>
                <w:b w:val="false"/>
                <w:bCs w:val="false"/>
                <w:sz w:val="19"/>
                <w:szCs w:val="19"/>
              </w:rPr>
              <w:t xml:space="preserve">INSEE : estimations de population par département, sexe et âge (1975-2025)</w:t>
            </w:r>
          </w:p>
        </w:tc>
      </w:tr>
      <w:tr>
        <w:trPr>
          <w:tblHeader w:val="false"/>
        </w:trPr>
        <w:tc>
          <w:tcPr>
            <w:tcW w:type="dxa" w:w="2600"/>
            <w:tcMar>
              <w:top w:type="dxa" w:w="100"/>
              <w:left w:type="dxa" w:w="120"/>
              <w:bottom w:type="dxa" w:w="100"/>
              <w:right w:type="dxa" w:w="120"/>
            </w:tcMar>
          </w:tcPr>
          <w:p>
            <w:r>
              <w:rPr>
                <w:b w:val="false"/>
                <w:bCs w:val="false"/>
                <w:sz w:val="19"/>
                <w:szCs w:val="19"/>
              </w:rPr>
              <w:t xml:space="preserve">Météorologie</w:t>
            </w:r>
          </w:p>
        </w:tc>
        <w:tc>
          <w:tcPr>
            <w:tcW w:type="dxa" w:w="6750"/>
            <w:tcMar>
              <w:top w:type="dxa" w:w="100"/>
              <w:left w:type="dxa" w:w="120"/>
              <w:bottom w:type="dxa" w:w="100"/>
              <w:right w:type="dxa" w:w="120"/>
            </w:tcMar>
          </w:tcPr>
          <w:p>
            <w:r>
              <w:rPr>
                <w:b w:val="false"/>
                <w:bCs w:val="false"/>
                <w:sz w:val="19"/>
                <w:szCs w:val="19"/>
              </w:rPr>
              <w:t xml:space="preserve">Météo France : températures et relevés climatiques (base SYNOP)</w:t>
            </w:r>
          </w:p>
        </w:tc>
      </w:tr>
      <w:tr>
        <w:trPr>
          <w:tblHeader w:val="false"/>
        </w:trPr>
        <w:tc>
          <w:tcPr>
            <w:tcW w:type="dxa" w:w="2600"/>
            <w:shd w:fill="DCE6F1" w:color="auto" w:val="clear"/>
            <w:tcMar>
              <w:top w:type="dxa" w:w="100"/>
              <w:left w:type="dxa" w:w="120"/>
              <w:bottom w:type="dxa" w:w="100"/>
              <w:right w:type="dxa" w:w="120"/>
            </w:tcMar>
          </w:tcPr>
          <w:p>
            <w:r>
              <w:rPr>
                <w:b w:val="false"/>
                <w:bCs w:val="false"/>
                <w:sz w:val="19"/>
                <w:szCs w:val="19"/>
              </w:rPr>
              <w:t xml:space="preserve">Qualité de l'air (*)</w:t>
            </w:r>
          </w:p>
        </w:tc>
        <w:tc>
          <w:tcPr>
            <w:tcW w:type="dxa" w:w="6750"/>
            <w:shd w:fill="DCE6F1" w:color="auto" w:val="clear"/>
            <w:tcMar>
              <w:top w:type="dxa" w:w="100"/>
              <w:left w:type="dxa" w:w="120"/>
              <w:bottom w:type="dxa" w:w="100"/>
              <w:right w:type="dxa" w:w="120"/>
            </w:tcMar>
          </w:tcPr>
          <w:p>
            <w:r>
              <w:rPr>
                <w:b w:val="false"/>
                <w:bCs w:val="false"/>
                <w:sz w:val="19"/>
                <w:szCs w:val="19"/>
              </w:rPr>
              <w:t xml:space="preserve">Atmo France / Geod'air : indice ATMO quotidien par territoire</w:t>
            </w:r>
          </w:p>
        </w:tc>
      </w:tr>
      <w:tr>
        <w:trPr>
          <w:tblHeader w:val="false"/>
        </w:trPr>
        <w:tc>
          <w:tcPr>
            <w:tcW w:type="dxa" w:w="2600"/>
            <w:tcMar>
              <w:top w:type="dxa" w:w="100"/>
              <w:left w:type="dxa" w:w="120"/>
              <w:bottom w:type="dxa" w:w="100"/>
              <w:right w:type="dxa" w:w="120"/>
            </w:tcMar>
          </w:tcPr>
          <w:p>
            <w:r>
              <w:rPr>
                <w:b w:val="false"/>
                <w:bCs w:val="false"/>
                <w:sz w:val="19"/>
                <w:szCs w:val="19"/>
              </w:rPr>
              <w:t xml:space="preserve">Démographie &amp; CSP</w:t>
            </w:r>
          </w:p>
        </w:tc>
        <w:tc>
          <w:tcPr>
            <w:tcW w:type="dxa" w:w="6750"/>
            <w:tcMar>
              <w:top w:type="dxa" w:w="100"/>
              <w:left w:type="dxa" w:w="120"/>
              <w:bottom w:type="dxa" w:w="100"/>
              <w:right w:type="dxa" w:w="120"/>
            </w:tcMar>
          </w:tcPr>
          <w:p>
            <w:r>
              <w:rPr>
                <w:b w:val="false"/>
                <w:bCs w:val="false"/>
                <w:sz w:val="19"/>
                <w:szCs w:val="19"/>
              </w:rPr>
              <w:t xml:space="preserve">INSEE : structure par âge et catégories CSP par département</w:t>
            </w:r>
          </w:p>
        </w:tc>
      </w:tr>
      <w:tr>
        <w:trPr>
          <w:tblHeader w:val="false"/>
        </w:trPr>
        <w:tc>
          <w:tcPr>
            <w:tcW w:type="dxa" w:w="2600"/>
            <w:shd w:fill="DCE6F1" w:color="auto" w:val="clear"/>
            <w:tcMar>
              <w:top w:type="dxa" w:w="100"/>
              <w:left w:type="dxa" w:w="120"/>
              <w:bottom w:type="dxa" w:w="100"/>
              <w:right w:type="dxa" w:w="120"/>
            </w:tcMar>
          </w:tcPr>
          <w:p>
            <w:r>
              <w:rPr>
                <w:b w:val="false"/>
                <w:bCs w:val="false"/>
                <w:sz w:val="19"/>
                <w:szCs w:val="19"/>
              </w:rPr>
              <w:t xml:space="preserve">Urbanisation</w:t>
            </w:r>
          </w:p>
        </w:tc>
        <w:tc>
          <w:tcPr>
            <w:tcW w:type="dxa" w:w="6750"/>
            <w:shd w:fill="DCE6F1" w:color="auto" w:val="clear"/>
            <w:tcMar>
              <w:top w:type="dxa" w:w="100"/>
              <w:left w:type="dxa" w:w="120"/>
              <w:bottom w:type="dxa" w:w="100"/>
              <w:right w:type="dxa" w:w="120"/>
            </w:tcMar>
          </w:tcPr>
          <w:p>
            <w:r>
              <w:rPr>
                <w:b w:val="false"/>
                <w:bCs w:val="false"/>
                <w:sz w:val="19"/>
                <w:szCs w:val="19"/>
              </w:rPr>
              <w:t xml:space="preserve">INSEE : part de la population en zone urbaine</w:t>
            </w:r>
          </w:p>
        </w:tc>
      </w:tr>
      <w:tr>
        <w:trPr>
          <w:tblHeader w:val="false"/>
        </w:trPr>
        <w:tc>
          <w:tcPr>
            <w:tcW w:type="dxa" w:w="2600"/>
            <w:tcMar>
              <w:top w:type="dxa" w:w="100"/>
              <w:left w:type="dxa" w:w="120"/>
              <w:bottom w:type="dxa" w:w="100"/>
              <w:right w:type="dxa" w:w="120"/>
            </w:tcMar>
          </w:tcPr>
          <w:p>
            <w:r>
              <w:rPr>
                <w:b w:val="false"/>
                <w:bCs w:val="false"/>
                <w:sz w:val="19"/>
                <w:szCs w:val="19"/>
              </w:rPr>
              <w:t xml:space="preserve">Accès aux soins</w:t>
            </w:r>
          </w:p>
        </w:tc>
        <w:tc>
          <w:tcPr>
            <w:tcW w:type="dxa" w:w="6750"/>
            <w:tcMar>
              <w:top w:type="dxa" w:w="100"/>
              <w:left w:type="dxa" w:w="120"/>
              <w:bottom w:type="dxa" w:w="100"/>
              <w:right w:type="dxa" w:w="120"/>
            </w:tcMar>
          </w:tcPr>
          <w:p>
            <w:r>
              <w:rPr>
                <w:b w:val="false"/>
                <w:bCs w:val="false"/>
                <w:sz w:val="19"/>
                <w:szCs w:val="19"/>
              </w:rPr>
              <w:t xml:space="preserve">Ameli : densité de professionnels de santé libéraux par département</w:t>
            </w:r>
          </w:p>
        </w:tc>
      </w:tr>
      <w:tr>
        <w:trPr>
          <w:tblHeader w:val="false"/>
        </w:trPr>
        <w:tc>
          <w:tcPr>
            <w:tcW w:type="dxa" w:w="2600"/>
            <w:shd w:fill="DCE6F1" w:color="auto" w:val="clear"/>
            <w:tcMar>
              <w:top w:type="dxa" w:w="100"/>
              <w:left w:type="dxa" w:w="120"/>
              <w:bottom w:type="dxa" w:w="100"/>
              <w:right w:type="dxa" w:w="120"/>
            </w:tcMar>
          </w:tcPr>
          <w:p>
            <w:r>
              <w:rPr>
                <w:b w:val="false"/>
                <w:bCs w:val="false"/>
                <w:sz w:val="19"/>
                <w:szCs w:val="19"/>
              </w:rPr>
              <w:t xml:space="preserve">Aléas climatiques (*)</w:t>
            </w:r>
          </w:p>
        </w:tc>
        <w:tc>
          <w:tcPr>
            <w:tcW w:type="dxa" w:w="6750"/>
            <w:shd w:fill="DCE6F1" w:color="auto" w:val="clear"/>
            <w:tcMar>
              <w:top w:type="dxa" w:w="100"/>
              <w:left w:type="dxa" w:w="120"/>
              <w:bottom w:type="dxa" w:w="100"/>
              <w:right w:type="dxa" w:w="120"/>
            </w:tcMar>
          </w:tcPr>
          <w:p>
            <w:r>
              <w:rPr>
                <w:b w:val="false"/>
                <w:bCs w:val="false"/>
                <w:sz w:val="19"/>
                <w:szCs w:val="19"/>
              </w:rPr>
              <w:t xml:space="preserve">GASPAR : arrêtés de reconnaissance de catastrophe naturelle</w:t>
            </w:r>
          </w:p>
        </w:tc>
      </w:tr>
    </w:tbl>
    <w:p>
      <w:pPr>
        <w:spacing w:after="200"/>
      </w:pPr>
    </w:p>
    <w:p>
      <w:pPr>
        <w:pStyle w:val="Heading2"/>
        <w:spacing w:after="120" w:before="240"/>
      </w:pPr>
      <w:r>
        <w:t xml:space="preserve">6.1 La variable à expliquer : taux_urgences</w:t>
      </w:r>
    </w:p>
    <w:p>
      <w:pPr>
        <w:spacing w:after="160"/>
        <w:jc w:val="both"/>
      </w:pPr>
      <w:r>
        <w:t xml:space="preserve">taux_urgences (Santé Publique France) est directement utilisable tel quel comme variable cible (Y) : c'est un ratio déjà calculé, sans effectifs bruts associés, donc sans dénominateur population à ajouter (voir 4.1 et 4.2). Pour rappel, il s'agit d'un taux d'activité (part parmi les passages aux urgences avec diagnostic codé), et non d'un taux d'incidence en population générale.</w:t>
      </w:r>
    </w:p>
    <w:p>
      <w:pPr>
        <w:pStyle w:val="ListParagraph"/>
        <w:numPr>
          <w:ilvl w:val="0"/>
          <w:numId w:val="2"/>
        </w:numPr>
        <w:spacing w:after="80"/>
      </w:pPr>
      <w:r>
        <w:t xml:space="preserve">Allergies (2020-2025) : </w:t>
      </w:r>
      <w:hyperlink w:history="1" r:id="rIdjfiamlb-jc_pkjobgxh0b">
        <w:r>
          <w:rPr>
            <w:rStyle w:val="Hyperlink"/>
          </w:rPr>
          <w:t xml:space="preserve">https://odisse.santepubliquefrance.fr/explore/dataset/allergie-passages-aux-urgences-et-actes-sos-medecins-dep/information/?disjunctive.reglib</w:t>
        </w:r>
      </w:hyperlink>
    </w:p>
    <w:p>
      <w:pPr>
        <w:pStyle w:val="ListParagraph"/>
        <w:numPr>
          <w:ilvl w:val="0"/>
          <w:numId w:val="2"/>
        </w:numPr>
        <w:spacing w:after="80"/>
      </w:pPr>
      <w:r>
        <w:t xml:space="preserve">Asthme (2020-2025) : </w:t>
      </w:r>
      <w:hyperlink w:history="1" r:id="rIdvelv82g_neudz0suhsz_c">
        <w:r>
          <w:rPr>
            <w:rStyle w:val="Hyperlink"/>
          </w:rPr>
          <w:t xml:space="preserve">https://odisse.santepubliquefrance.fr/explore/dataset/asthme-passages-aux-urgences-et-actes-sos-medecins-dep/table/?disjunctive.reglib&amp;sort=date_complet</w:t>
        </w:r>
      </w:hyperlink>
    </w:p>
    <w:p>
      <w:pPr>
        <w:pStyle w:val="ListParagraph"/>
        <w:numPr>
          <w:ilvl w:val="0"/>
          <w:numId w:val="2"/>
        </w:numPr>
        <w:spacing w:after="80"/>
      </w:pPr>
      <w:r>
        <w:t xml:space="preserve">Bronchiolite (2020-2025) : </w:t>
      </w:r>
      <w:hyperlink w:history="1" r:id="rIdjjxrhzwhv4wae4pst1ixt">
        <w:r>
          <w:rPr>
            <w:rStyle w:val="Hyperlink"/>
          </w:rPr>
          <w:t xml:space="preserve">https://odisse.santepubliquefrance.fr/explore/dataset/bronchiolite-passages-aux-urgences-et-actes-sos-medecins-departement/table/?disjunctive.reglib&amp;sort=date_complet</w:t>
        </w:r>
      </w:hyperlink>
    </w:p>
    <w:p>
      <w:pPr>
        <w:pStyle w:val="Heading2"/>
        <w:spacing w:after="120" w:before="240"/>
      </w:pPr>
      <w:r>
        <w:t xml:space="preserve">6.2 Les variables explicatives</w:t>
      </w:r>
    </w:p>
    <w:p>
      <w:pPr>
        <w:pStyle w:val="ListParagraph"/>
        <w:numPr>
          <w:ilvl w:val="0"/>
          <w:numId w:val="2"/>
        </w:numPr>
        <w:spacing w:after="80"/>
      </w:pPr>
      <w:r>
        <w:t xml:space="preserve">Estimations de population par département, sexe, âge — 1975 à 2025 (*) — page INSEE : </w:t>
      </w:r>
      <w:hyperlink w:history="1" r:id="rIdtrs_nm3vxuqf6z2fsgqc-">
        <w:r>
          <w:rPr>
            <w:rStyle w:val="Hyperlink"/>
          </w:rPr>
          <w:t xml:space="preserve">https://www.insee.fr/fr/statistiques/8331297</w:t>
        </w:r>
      </w:hyperlink>
    </w:p>
    <w:p>
      <w:pPr>
        <w:pStyle w:val="ListParagraph"/>
        <w:numPr>
          <w:ilvl w:val="1"/>
          <w:numId w:val="2"/>
        </w:numPr>
        <w:spacing w:after="80"/>
      </w:pPr>
      <w:r>
        <w:t xml:space="preserve">↳ Fichier direct (xlsx, par grande classe d'âge) : </w:t>
      </w:r>
      <w:hyperlink w:history="1" r:id="rIdrto75dfooncenzlcwn_a2">
        <w:r>
          <w:rPr>
            <w:rStyle w:val="Hyperlink"/>
          </w:rPr>
          <w:t xml:space="preserve">https://www.insee.fr/fr/statistiques/fichier/8331297/estim-pop-dep-sexe-gca-1975-2025.xlsx</w:t>
        </w:r>
      </w:hyperlink>
    </w:p>
    <w:p>
      <w:pPr>
        <w:pStyle w:val="ListParagraph"/>
        <w:numPr>
          <w:ilvl w:val="1"/>
          <w:numId w:val="2"/>
        </w:numPr>
        <w:spacing w:after="80"/>
      </w:pPr>
      <w:r>
        <w:t xml:space="preserve">↳ Fichier direct (xlsx, par tranche d'âge quinquennale) : </w:t>
      </w:r>
      <w:hyperlink w:history="1" r:id="rIdfuqaiqu78fjfafieanv_r">
        <w:r>
          <w:rPr>
            <w:rStyle w:val="Hyperlink"/>
          </w:rPr>
          <w:t xml:space="preserve">https://www.insee.fr/fr/statistiques/fichier/8331297/estim-pop-dep-sexe-aq-1975-2025.xlsx</w:t>
        </w:r>
      </w:hyperlink>
    </w:p>
    <w:p>
      <w:pPr>
        <w:pStyle w:val="ListParagraph"/>
        <w:numPr>
          <w:ilvl w:val="0"/>
          <w:numId w:val="2"/>
        </w:numPr>
        <w:spacing w:after="80"/>
      </w:pPr>
      <w:r>
        <w:t xml:space="preserve">Données atmosphériques — base SYNOP : </w:t>
      </w:r>
      <w:hyperlink w:history="1" r:id="rIdu-_kia0cp2bef4o1n3r5a">
        <w:r>
          <w:rPr>
            <w:rStyle w:val="Hyperlink"/>
          </w:rPr>
          <w:t xml:space="preserve">https://www.data.gouv.fr/datasets/archive-synop-omm</w:t>
        </w:r>
      </w:hyperlink>
    </w:p>
    <w:p>
      <w:pPr>
        <w:pStyle w:val="ListParagraph"/>
        <w:numPr>
          <w:ilvl w:val="0"/>
          <w:numId w:val="2"/>
        </w:numPr>
        <w:spacing w:after="80"/>
      </w:pPr>
      <w:r>
        <w:t xml:space="preserve">Base SYNOP — Météo France : </w:t>
      </w:r>
      <w:hyperlink w:history="1" r:id="rIdatyjx6vkrvlqfsnbfhyf1">
        <w:r>
          <w:rPr>
            <w:rStyle w:val="Hyperlink"/>
          </w:rPr>
          <w:t xml:space="preserve">https://donneespubliques.meteofrance.fr/?fond=produit&amp;id_produit=115&amp;id_rubrique=38</w:t>
        </w:r>
      </w:hyperlink>
    </w:p>
    <w:p>
      <w:pPr>
        <w:pStyle w:val="ListParagraph"/>
        <w:numPr>
          <w:ilvl w:val="0"/>
          <w:numId w:val="2"/>
        </w:numPr>
        <w:spacing w:after="80"/>
      </w:pPr>
      <w:r>
        <w:t xml:space="preserve">Qualité de l'air — indice ATMO (*) : </w:t>
      </w:r>
      <w:hyperlink w:history="1" r:id="rIdbq9lnfoqacju-o_oxk90z">
        <w:r>
          <w:rPr>
            <w:rStyle w:val="Hyperlink"/>
          </w:rPr>
          <w:t xml:space="preserve">https://www.data.gouv.fr/datasets/indice-de-qualite-de-lair-atmo</w:t>
        </w:r>
      </w:hyperlink>
    </w:p>
    <w:p>
      <w:pPr>
        <w:pStyle w:val="ListParagraph"/>
        <w:numPr>
          <w:ilvl w:val="0"/>
          <w:numId w:val="2"/>
        </w:numPr>
        <w:spacing w:after="80"/>
      </w:pPr>
      <w:r>
        <w:t xml:space="preserve">Pathologies : effectifs de patients par pathologie, sexe, classe d'âge et territoire : </w:t>
      </w:r>
      <w:hyperlink w:history="1" r:id="rIdxfrha_le16mtwiq6g6qnz">
        <w:r>
          <w:rPr>
            <w:rStyle w:val="Hyperlink"/>
          </w:rPr>
          <w:t xml:space="preserve">https://www.data.gouv.fr/datasets/pathologies-effectif-de-patients-par-pathologie-sexe-classe-dage-et-territoire-departement-region</w:t>
        </w:r>
      </w:hyperlink>
    </w:p>
    <w:p>
      <w:pPr>
        <w:pStyle w:val="ListParagraph"/>
        <w:numPr>
          <w:ilvl w:val="0"/>
          <w:numId w:val="2"/>
        </w:numPr>
        <w:spacing w:after="80"/>
      </w:pPr>
      <w:r>
        <w:t xml:space="preserve">Part de la population en unités urbaines : </w:t>
      </w:r>
      <w:hyperlink w:history="1" r:id="rId6gdo98bcjolrcypnunpmh">
        <w:r>
          <w:rPr>
            <w:rStyle w:val="Hyperlink"/>
          </w:rPr>
          <w:t xml:space="preserve">https://www.insee.fr/fr/statistiques/5039853</w:t>
        </w:r>
      </w:hyperlink>
    </w:p>
    <w:p>
      <w:pPr>
        <w:pStyle w:val="ListParagraph"/>
        <w:numPr>
          <w:ilvl w:val="0"/>
          <w:numId w:val="2"/>
        </w:numPr>
        <w:spacing w:after="80"/>
      </w:pPr>
      <w:r>
        <w:t xml:space="preserve">CSP par département : </w:t>
      </w:r>
      <w:hyperlink w:history="1" r:id="rIdhd5goo6qartirfoeut21t">
        <w:r>
          <w:rPr>
            <w:rStyle w:val="Hyperlink"/>
          </w:rPr>
          <w:t xml:space="preserve">https://www.insee.fr/fr/statistiques/2489546#tableau-figure1_radio1</w:t>
        </w:r>
      </w:hyperlink>
    </w:p>
    <w:p>
      <w:pPr>
        <w:pStyle w:val="ListParagraph"/>
        <w:numPr>
          <w:ilvl w:val="0"/>
          <w:numId w:val="2"/>
        </w:numPr>
        <w:spacing w:after="80"/>
      </w:pPr>
      <w:r>
        <w:t xml:space="preserve">Densité de professionnels de santé libéraux — Ameli : </w:t>
      </w:r>
      <w:hyperlink w:history="1" r:id="rIddftsl1r_qmhyzausft__u">
        <w:r>
          <w:rPr>
            <w:rStyle w:val="Hyperlink"/>
          </w:rPr>
          <w:t xml:space="preserve">https://www.assurance-maladie.ameli.fr/etudes-et-donnees/densite-professionnels-sante-liberaux-departement</w:t>
        </w:r>
      </w:hyperlink>
    </w:p>
    <w:p>
      <w:pPr>
        <w:pStyle w:val="ListParagraph"/>
        <w:numPr>
          <w:ilvl w:val="0"/>
          <w:numId w:val="2"/>
        </w:numPr>
        <w:spacing w:after="80"/>
      </w:pPr>
      <w:r>
        <w:t xml:space="preserve">Arrêtés catastrophes naturelles — GASPAR : </w:t>
      </w:r>
      <w:hyperlink w:history="1" r:id="rIdypppmttxn9ctgrxar2qoo">
        <w:r>
          <w:rPr>
            <w:rStyle w:val="Hyperlink"/>
          </w:rPr>
          <w:t xml:space="preserve">https://www.data.gouv.fr/fr/datasets/base-nationale-de-gestion-assistee-des-procedures-administratives-relatives-aux-risques-gaspar</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lvl w:ilvl="1" w15:tentative="1">
      <w:start w:val="1"/>
      <w:numFmt w:val="bullet"/>
      <w:lvlText w:val="◦"/>
      <w:lvlJc w:val="left"/>
      <w:pPr>
        <w:ind w:left="9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4zkrepfv80b98uxkkg50" Type="http://schemas.openxmlformats.org/officeDocument/2006/relationships/hyperlink" Target="https://docs.google.com/spreadsheets/d/1T7uEuAvwJZ9lVuPD0TBc1paAcSRIy_P-WLz4nCAjqUQ/edit?usp=sharing" TargetMode="External"/><Relationship Id="rIdvdbpy1j7cvmct030mndmz" Type="http://schemas.openxmlformats.org/officeDocument/2006/relationships/hyperlink" Target="https://github.com/DataScientest-Studio/Template_DS" TargetMode="External"/><Relationship Id="rIdshh0uiewityp9jngh6xk3" Type="http://schemas.openxmlformats.org/officeDocument/2006/relationships/hyperlink" Target="https://docs.google.com/document/d/1y8_Uz4lRSU1X9a7LOO6lP3m6TkVWTUoRyimmUioejJY/edit?usp=sharing" TargetMode="External"/><Relationship Id="rIdhh8j8nn8uuq3jho1k7tcy" Type="http://schemas.openxmlformats.org/officeDocument/2006/relationships/hyperlink" Target="https://docs.google.com/document/d/1hZuFkTLz_KXQ_AL3ge8AABk5RemabxYm6AVQZqjKcJw/edit?usp=sharing" TargetMode="External"/><Relationship Id="rIdjfiamlb-jc_pkjobgxh0b" Type="http://schemas.openxmlformats.org/officeDocument/2006/relationships/hyperlink" Target="https://odisse.santepubliquefrance.fr/explore/dataset/allergie-passages-aux-urgences-et-actes-sos-medecins-dep/information/?disjunctive.reglib" TargetMode="External"/><Relationship Id="rIdvelv82g_neudz0suhsz_c" Type="http://schemas.openxmlformats.org/officeDocument/2006/relationships/hyperlink" Target="https://odisse.santepubliquefrance.fr/explore/dataset/asthme-passages-aux-urgences-et-actes-sos-medecins-dep/table/?disjunctive.reglib&amp;sort=date_complet" TargetMode="External"/><Relationship Id="rIdjjxrhzwhv4wae4pst1ixt" Type="http://schemas.openxmlformats.org/officeDocument/2006/relationships/hyperlink" Target="https://odisse.santepubliquefrance.fr/explore/dataset/bronchiolite-passages-aux-urgences-et-actes-sos-medecins-departement/table/?disjunctive.reglib&amp;sort=date_complet" TargetMode="External"/><Relationship Id="rIdtrs_nm3vxuqf6z2fsgqc-" Type="http://schemas.openxmlformats.org/officeDocument/2006/relationships/hyperlink" Target="https://www.insee.fr/fr/statistiques/8331297" TargetMode="External"/><Relationship Id="rIdrto75dfooncenzlcwn_a2" Type="http://schemas.openxmlformats.org/officeDocument/2006/relationships/hyperlink" Target="https://www.insee.fr/fr/statistiques/fichier/8331297/estim-pop-dep-sexe-gca-1975-2025.xlsx" TargetMode="External"/><Relationship Id="rIdfuqaiqu78fjfafieanv_r" Type="http://schemas.openxmlformats.org/officeDocument/2006/relationships/hyperlink" Target="https://www.insee.fr/fr/statistiques/fichier/8331297/estim-pop-dep-sexe-aq-1975-2025.xlsx" TargetMode="External"/><Relationship Id="rIdu-_kia0cp2bef4o1n3r5a" Type="http://schemas.openxmlformats.org/officeDocument/2006/relationships/hyperlink" Target="https://www.data.gouv.fr/datasets/archive-synop-omm" TargetMode="External"/><Relationship Id="rIdatyjx6vkrvlqfsnbfhyf1" Type="http://schemas.openxmlformats.org/officeDocument/2006/relationships/hyperlink" Target="https://donneespubliques.meteofrance.fr/?fond=produit&amp;id_produit=115&amp;id_rubrique=38" TargetMode="External"/><Relationship Id="rIdbq9lnfoqacju-o_oxk90z" Type="http://schemas.openxmlformats.org/officeDocument/2006/relationships/hyperlink" Target="https://www.data.gouv.fr/datasets/indice-de-qualite-de-lair-atmo" TargetMode="External"/><Relationship Id="rIdxfrha_le16mtwiq6g6qnz" Type="http://schemas.openxmlformats.org/officeDocument/2006/relationships/hyperlink" Target="https://www.data.gouv.fr/datasets/pathologies-effectif-de-patients-par-pathologie-sexe-classe-dage-et-territoire-departement-region" TargetMode="External"/><Relationship Id="rId6gdo98bcjolrcypnunpmh" Type="http://schemas.openxmlformats.org/officeDocument/2006/relationships/hyperlink" Target="https://www.insee.fr/fr/statistiques/5039853" TargetMode="External"/><Relationship Id="rIdhd5goo6qartirfoeut21t" Type="http://schemas.openxmlformats.org/officeDocument/2006/relationships/hyperlink" Target="https://www.insee.fr/fr/statistiques/2489546#tableau-figure1_radio1" TargetMode="External"/><Relationship Id="rIddftsl1r_qmhyzausft__u" Type="http://schemas.openxmlformats.org/officeDocument/2006/relationships/hyperlink" Target="https://www.assurance-maladie.ameli.fr/etudes-et-donnees/densite-professionnels-sante-liberaux-departement" TargetMode="External"/><Relationship Id="rIdypppmttxn9ctgrxar2qoo" Type="http://schemas.openxmlformats.org/officeDocument/2006/relationships/hyperlink" Target="https://www.data.gouv.fr/fr/datasets/base-nationale-de-gestion-assistee-des-procedures-administratives-relatives-aux-risques-gaspar"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2026-07-28T14:16:01.142Z</dcterms:created>
  <dcterms:modified xsi:type="dcterms:W3CDTF">2026-07-28T14:16:01.143Z</dcterms:modified>
</cp:coreProperties>
</file>

<file path=docProps/custom.xml><?xml version="1.0" encoding="utf-8"?>
<Properties xmlns="http://schemas.openxmlformats.org/officeDocument/2006/custom-properties" xmlns:vt="http://schemas.openxmlformats.org/officeDocument/2006/docPropsVTypes"/>
</file>