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H Sarabun New" w:hAnsi="TH Sarabun New" w:cs="TH Sarabun New"/>
          <w:b/>
          <w:sz w:val="36"/>
          <w:szCs w:val="36"/>
          <w:bCs w:val="true"/>
        </w:rPr>
        <w:t>รายละเอียดคุณลักษณะเฉพาะของพัสดุที่จะ{{ proc_type }} (TOR)</w:t>
      </w:r>
    </w:p>
    <w:p>
      <w:pPr>
        <w:spacing w:before="0" w:after="12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ตามพระราชบัญญัติการจัดซื้อจัดจ้างและการบริหารพัสดุภาครัฐ พ.ศ. 2560 (ข้อ 21)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1. ความเป็นมา/เหตุผลความจำเป็น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ด้วย{{ school_name }} มีความประสงค์จะ{{ proc_type }}{{ subject }} โดยวิธี{{ method }} เนื่องจาก {{ purpose }}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2. ลักษณะการจัดหา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งาน{{ proc_type }}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3. รายละเอียดคุณลักษณะเฉพาะของพัสดุ</w:t>
      </w:r>
    </w:p>
    <w:tbl>
      <w:tblPr>
        <w:tblStyle w:val="TableGrid"/>
        <w:tblW w:type="dxa" w:w="9213"/>
        <w:tblLayout w:type="fixed"/>
        <w:tblLook w:firstColumn="1" w:firstRow="1" w:lastColumn="0" w:lastRow="0" w:noHBand="0" w:noVBand="1" w:val="04A0"/>
      </w:tblPr>
      <w:tblGrid>
        <w:gridCol w:w="680"/>
        <w:gridCol w:w="3969"/>
        <w:gridCol w:w="1474"/>
        <w:gridCol w:w="1474"/>
        <w:gridCol w:w="1616"/>
      </w:tblGrid>
      <w:tr>
        <w:trPr>
          <w:tblHeader w:val="true"/>
        </w:trP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ลำดับ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รายการ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จำนวน/หน่วย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ราคาต่อหน่วย</w:t>
            </w:r>
          </w:p>
        </w:tc>
        <w:tc>
          <w:tcPr>
            <w:tcW w:type="dxa" w:w="161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จำนวนเงิน (บาท)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it in items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rPr>
          <w:cantSplit w:val="true"/>
        </w:trP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loop.index }}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it.name }}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it.qty }} {{ it.unit }}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it.unit_price }}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it.amount }}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if has_vat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c>
          <w:tcPr>
            <w:tcW w:type="dxa" w:w="1474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price_ex_vat }}</w:t>
            </w:r>
          </w:p>
        </w:tc>
      </w:tr>
      <w:tr>
        <w:tc>
          <w:tcPr>
            <w:tcW w:type="dxa" w:w="1474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ภาษีมูลค่าเพิ่ม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vat_amount }}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endif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c>
          <w:tcPr>
            <w:tcW w:type="dxa" w:w="1474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รวมเป็นเงินทั้งสิ้น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{{ total_amount }}</w:t>
            </w:r>
          </w:p>
        </w:tc>
      </w:tr>
      <w:tr>
        <w:tc>
          <w:tcPr>
            <w:tcW w:type="dxa" w:w="1616"/>
            <w:gridSpan w:val="5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({{ total_baht }})</w:t>
            </w:r>
          </w:p>
        </w:tc>
      </w:tr>
    </w:tbl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4. กำหนดเวลาส่งมอบ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ส่งมอบภายใน {{ delivery_days }} วัน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5. หลักเกณฑ์การพิจารณาคัดเลือกข้อเสนอ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พิจารณาตัดสินโดยใช้เกณฑ์ราคา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6. ราคากลางและที่มาของราคากลาง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ราคากลาง {{ total_amount }} บาท ({{ total_baht }}) ได้มาจาก {{ price_ref_source }}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7. วงเงินงบประมาณ</w:t>
      </w:r>
    </w:p>
    <w:p>
      <w:pPr>
        <w:spacing w:before="0" w:after="16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ใช้งบประมาณจากเงิน{{ budget_source }} จำนวน {{ total_amount }} บาท ({{ total_baht }})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คณะกรรมการกำหนดคุณลักษณะเฉพาะและราคากลาง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227" w:type="dxa"/>
      </w:tblPr>
      <w:tblGrid>
        <w:gridCol w:w="2303"/>
        <w:gridCol w:w="2303"/>
        <w:gridCol w:w="2303"/>
        <w:gridCol w:w="2303"/>
      </w:tblGrid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m in spec_members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loop.index }}.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m.name }}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ตำแหน่ง {{ m.position }}</w:t>
            </w:r>
          </w:p>
        </w:tc>
        <w:tc>
          <w:tcPr>
            <w:tcW w:type="dxa" w:w="269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m.role }}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</w:tbl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