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54797"/>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54797"/>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Real GFN2-xTB single-point interaction energies of the 26 non-anomalous compounds on the pristine beta-12 borophene cluster (B40H15) span -13.8 to -0.9 kcal/mol; three cationic phenothiazine dyes (methylene blue, azure A, toluidine blue O) give large positive single-point energies from steric clash and are reported as such and flagged out-of-domain. An Angiopep-2 or chi3-PEG-Tf functionalized borophene for BBB transcytosis is discussed only as future work, since no real structural or quantum data for it exist in this study. Docking against the Tau filament core gave Vina scores of -3.79 to -6.83 kcal/mol (mean -5.17), with recurrent contacts at the cross-beta residues Gly335, Leu357, Gln336, Val337 and Pro332. A leak-free nested 5x5 cross-validated RidgeCV surrogate on the real data reached Q2_CV = 0.46 (isolated descriptors) and 0.07 (pristine-borophene interaction energy); the feature-importance analysis is reported as exploratory.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40555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40555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Computational and Experimental Section</w:t>
      </w:r>
    </w:p>
    <w:p>
      <w:r>
        <w:t>2.1 Quantum-chemical framework: Each isolated drug, the pristine beta-12 borophene cluster (B40H15), and every drug-borophene complex were geometry-optimized and evaluated at single point with GFN2-xTB (xtb v6.7.1) including the D4 dispersion correction [24,26]. The standardized single-point interaction energy is Delta_E_int,SP = E(complex) - E(borophene) - E(drug), both fragments taken at the complex geometry. Frontier-orbital energies and conceptual-DFT global reactivity indices (hardness eta = gap/2, softness, electronegativity, electrophilicity omega = mu^2/2eta) [36,37] were read directly from the xtb output; no descriptor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spacing w:before="200" w:after="80"/>
        <w:jc w:val="center"/>
      </w:pPr>
      <w:r>
        <w:drawing>
          <wp:inline xmlns:a="http://schemas.openxmlformats.org/drawingml/2006/main" xmlns:pic="http://schemas.openxmlformats.org/drawingml/2006/picture">
            <wp:extent cx="5669280" cy="2894188"/>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94188"/>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Quantum interaction energies on pristine beta-12 borophene</w:t>
      </w:r>
    </w:p>
    <w:p>
      <w:r>
        <w:t>Real GFN2-xTB single-point interaction energies for the 26 non-anomalous therapeutics on the B40H15 cluster range from -0.9 to -13.8 kcal/mol (curcumin -7.8; EGCG -5.3 kcal/mol), consistent with dispersion-assisted physisorption of the drug pi-systems on the polarizable metallic boron lattice. Three cationic phenothiazine dyes (methylene blue, azure A, toluidine blue O) return large positive single-point energies (up to +190 kcal/mol): at the fixed complex geometry the rigid planar cation is forced into steric overlap with the lattice, so these points are physically meaningless and are excluded from the model and flagged out-of-domain rather than removed silently.</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32515"/>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32515"/>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316952"/>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316952"/>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A StandardScaler + RidgeCV surrogate evaluated by leak-free nested 5x5 cross-validation reached Q2_CV = 0.46 for the isolated-descriptor model and 0.07 for the pristine-borophene interaction-energy model (n = 29, four descriptors: MolWt, MolMR, E_HOMO, omega). The borophene model is therefore essentially non-predictive; the exploratory ExtraTrees / SHAP ranking (Figure 6), led by E_HOMO, is reported only as a qualitative indication and not as a validated structure-property relationship [39,40].</w:t>
      </w:r>
    </w:p>
    <w:p>
      <w:pPr>
        <w:spacing w:before="200" w:after="80"/>
        <w:jc w:val="center"/>
      </w:pPr>
      <w:r>
        <w:drawing>
          <wp:inline xmlns:a="http://schemas.openxmlformats.org/drawingml/2006/main" xmlns:pic="http://schemas.openxmlformats.org/drawingml/2006/picture">
            <wp:extent cx="5669280" cy="2823882"/>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823882"/>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for the isolated and pristine-borophene systems. The chi3-PEG-Tf functionalized system has no real data and is not shown.</w:t>
      </w:r>
    </w:p>
    <w:p>
      <w:pPr>
        <w:spacing w:before="200" w:after="80"/>
        <w:jc w:val="center"/>
      </w:pPr>
      <w:r>
        <w:drawing>
          <wp:inline xmlns:a="http://schemas.openxmlformats.org/drawingml/2006/main" xmlns:pic="http://schemas.openxmlformats.org/drawingml/2006/picture">
            <wp:extent cx="5669280" cy="3042955"/>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042955"/>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real 8-descriptor matrix gives a warning leverage h* = 0.93; 28 of the 29 compounds fall inside the domain (leverage below h* and standardized residual within +/-3sigma) for both real-data systems [31-33].</w:t>
      </w:r>
    </w:p>
    <w:p>
      <w:pPr>
        <w:spacing w:before="200" w:after="80"/>
        <w:jc w:val="center"/>
      </w:pPr>
      <w:r>
        <w:drawing>
          <wp:inline xmlns:a="http://schemas.openxmlformats.org/drawingml/2006/main" xmlns:pic="http://schemas.openxmlformats.org/drawingml/2006/picture">
            <wp:extent cx="5669280" cy="2361822"/>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361822"/>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730661"/>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730661"/>
                    </a:xfrm>
                    <a:prstGeom prst="rect"/>
                  </pic:spPr>
                </pic:pic>
              </a:graphicData>
            </a:graphic>
          </wp:inline>
        </w:drawing>
      </w:r>
    </w:p>
    <w:p>
      <w:pPr>
        <w:spacing w:after="240" w:line="276" w:lineRule="auto"/>
      </w:pPr>
      <w:r>
        <w:rPr>
          <w:b/>
          <w:color w:val="4A148C"/>
          <w:sz w:val="19"/>
        </w:rPr>
        <w:t xml:space="preserve">Figure 9: </w:t>
      </w:r>
      <w:r>
        <w:rPr>
          <w:i/>
          <w:sz w:val="19"/>
        </w:rPr>
        <w:t xml:space="preserve"> Representative binding modes (schematic): (a) EGCG at the Tau filament cleft (PDB 5O3L); (b) hydromethylthionine/LMTX pose; (c) a drug on the pristine beta-12 borophene surface with its real GFN2-xTB Delta_E_int,SP.</w:t>
      </w:r>
    </w:p>
    <w:p>
      <w:pPr>
        <w:pStyle w:val="Heading1"/>
        <w:keepNext/>
        <w:spacing w:before="280" w:after="120"/>
      </w:pPr>
      <w:r>
        <w:rPr>
          <w:rFonts w:ascii="Times New Roman" w:hAnsi="Times New Roman"/>
          <w:b/>
          <w:color w:val="4A148C"/>
          <w:sz w:val="28"/>
        </w:rPr>
        <w:t>4. Conclusions</w:t>
      </w:r>
    </w:p>
    <w:p>
      <w:r>
        <w:t>We report a quantum-informed, explainable Nano-QSAR analysis of pristine beta-12 borophene (B40H15) as a candidate loading surface for Tau-directed therapeutics. Real GFN2-xTB single-point interaction energies show dispersion-assisted physisorption of the 26 non-anomalous drugs (Delta_E_int,SP = -0.9 to -13.8 kcal/mol), while three rigid cationic phenothiazine dyes are sterically incompatible at the fixed geometry and are flagged rather than hidden. Docking against the cryo-EM Tau filament core ranks polyphenols (chrysamine G, EGCG, luteolin, fisetin) highest. The surrogate model is not predictive for the borophene interaction energy, so the descriptor rankings are exploratory. A peptide-functionalized borophene for LRP-1-mediated BBB transcytosis is a natural extension but has no real structural or quantum data here and would require dedicated complex-geometry modeling.</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