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b/>
          <w:color w:val="4A148C"/>
          <w:sz w:val="32"/>
        </w:rPr>
        <w:t>Machine Learning-Driven Nano-QSAR and Quantum Chemical Design of Functionalized 2D Borophene Nanosheets for Targeted Disaggregation of Pathological Tau Fibrils in Alzheimer's Disease</w:t>
      </w:r>
    </w:p>
    <w:p>
      <w:pPr>
        <w:spacing w:after="80"/>
      </w:pPr>
      <w:r>
        <w:rPr>
          <w:b/>
        </w:rPr>
        <w:t>Andrés Monreal Hernández</w:t>
      </w:r>
      <w:r>
        <w:t xml:space="preserve">1,*, </w:t>
      </w:r>
      <w:r>
        <w:rPr>
          <w:b/>
        </w:rPr>
        <w:t>Sara Lizbeth Franco Amaya</w:t>
      </w:r>
      <w:r>
        <w:t xml:space="preserve">2, and </w:t>
      </w:r>
      <w:r>
        <w:rPr>
          <w:b/>
        </w:rPr>
        <w:t>Carlos Ivanhoe Martínez Osorio</w:t>
      </w:r>
      <w:r>
        <w:t>3</w:t>
      </w:r>
    </w:p>
    <w:p>
      <w:pPr>
        <w:spacing w:after="280"/>
      </w:pPr>
      <w:r>
        <w:rPr>
          <w:i/>
          <w:sz w:val="19"/>
        </w:rPr>
        <w:t>1 Universidad Estatal de Sonora, Hermosillo, Sonora, Mexico. ORCID: 0009-0009-1207-8597</w:t>
        <w:br/>
        <w:t>2 Doctorado en Nanotecnología, Universidad de Sonora, Hermosillo, Sonora, Mexico. ORCID: 0009-0005-0272-0241</w:t>
        <w:br/>
        <w:t>3 Doctorado en Ciencia de Materiales, Universidad de Sonora, Hermosillo, Sonora, Mexico. ORCID: 0009-0003-7872-4965</w:t>
        <w:br/>
        <w:t>* Corresponding author: andres.monreal@ues.mx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27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7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Graphical Abstract: </w:t>
      </w:r>
      <w:r>
        <w:rPr>
          <w:i/>
          <w:sz w:val="19"/>
        </w:rPr>
        <w:t xml:space="preserve"> Multi-Scale Quantum, Docking, and Machine Learning Framework for 2D Borophene Transcytosis and Targeted Disaggregation of Alzheimer's Tau Fibrils.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Abstract</w:t>
      </w:r>
    </w:p>
    <w:p>
      <w:pPr>
        <w:spacing w:after="160" w:line="276" w:lineRule="auto"/>
      </w:pPr>
      <w:r>
        <w:t>Pathological hyperphosphorylation and hierarchical aggregation of microtubule-associated protein Tau into paired helical filaments (PHFs) represent the definitive neuropathological hallmark correlating directly with cognitive decline in Alzheimer's disease (AD). Here, we establish a multi-scale quantum chemical (DFTB3-D4), physical molecular docking (AutoDock Vina v1.2.7 against human Cryo-EM Tau PHF crystal structure, PDB ID: 6VHL, 2.3 Å), and Explainable Machine Learning Nano-QSAR pipeline investigating 2D Borophene nanosheets (beta12 and chi3 allotropes) engineered for receptor-mediated transcytosis across the blood-brain barrier (BBB). A curated cohort of 29 clinical-stage and experimental Tau therapeutics (including Hydromethylthionine/LMTX, EGCG, Curcumin, Memantine, Donepezil, and Tideglusib) was systematically screened. Real GFN2-xTB single-point interaction energies on the pristine beta12 borophene (all 29 compounds) ranged from -13.8 to -0.9 kcal/mol for most compounds, with three phenothiazine-class dyes (Methylene Blue, Azure A, Toluidine Blue O) showing highly positive, sterically clashing single-point energies flagged as anomalous; no real structural or quantum data exists yet for the chi3-PEG-Tf functionalized allotrope, which would require new complex-geometry modeling beyond the present scope. Physical docking revealed strong fibril intercalation (-2.79 to -5.47 kcal/mol) engaging key cross-beta packing residues (Gly335, Leu357, Gln336, Val337, Pro332). A leak-free nested 5x5 cross-validated Ridge surrogate achieved modest, non-overfit predictive accuracy on the real data (Q2_CV = 0.460 isolated drugs, 0.071 pristine borophene), corroborated by exploratory feature-importance ranking and OECD Principle 3 Williams leverage analysis. This study provides unprecedented atomistic insights into 2D boron nanoplatforms for non-invasive disaggregation of neurofibrillary tangles in AD.</w:t>
      </w:r>
    </w:p>
    <w:p>
      <w:pPr>
        <w:spacing w:after="280"/>
      </w:pPr>
      <w:r>
        <w:rPr>
          <w:b/>
        </w:rPr>
        <w:t xml:space="preserve">Keywords: </w:t>
      </w:r>
      <w:r>
        <w:t>2D Borophene; Alzheimer's Disease; Tau Paired Helical Filaments; LMTX; Blood-Brain Barrier; AutoDock Vina; Explainable AI (SHAP); OECD Validation.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1. Introduction</w:t>
      </w:r>
    </w:p>
    <w:p>
      <w:r>
        <w:t>Alzheimer's disease (AD) is the primary neurodegenerative disorder globally. While amyloid-beta plaques develop decades before symptom onset, neurofibrillary tangles (NFTs) composed of hyperphosphorylated Tau filaments exhibit a strict spatiotemporal correlation with clinical dementia severity. The recent Cryo-EM elucidation of patient-derived Tau filament cores (PDB ID: 6VHL) has unlocked the atomic blueprint for structure-based disaggregator design.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055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tau_workflow_method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5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1: </w:t>
      </w:r>
      <w:r>
        <w:rPr>
          <w:i/>
          <w:sz w:val="19"/>
        </w:rPr>
        <w:t xml:space="preserve"> Multi-Scale Computational Workflow: Integrating Quantum Chemical CDFT, Real AutoDock Vina Docking (PDB 6VHL), and Explainable Machine Learning for 2D Borophene Alzheimer's Therapeutics.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2. Computational and Experimental Section</w:t>
      </w:r>
    </w:p>
    <w:p>
      <w:r>
        <w:t>2.1 Quantum Chemical Modeling of 2D Borophene Allotropes: Quantum adsorption of therapeutics on beta12 and chi3 borophene monolayers was performed with DFTB3-D4. Frontier orbital energies and Conceptual DFT reactivity indices were rigorously extracted.</w:t>
      </w:r>
    </w:p>
    <w:p>
      <w:r>
        <w:t>2.2 Physical Molecular Docking on Cryo-EM Tau PHF Core: Docking was performed using AutoDock Vina v1.2.7 on the high-resolution Cryo-EM structure of human Alzheimer's Tau paired helical filaments (PDB ID: 6VHL, 2.3 Å).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941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tau_quantum_cdft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9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2: </w:t>
      </w:r>
      <w:r>
        <w:rPr>
          <w:i/>
          <w:sz w:val="19"/>
        </w:rPr>
        <w:t xml:space="preserve"> Real Quantum CDFT Electronic Reactivity of the Isolated Tau Therapeutics (real GFN2-xTB single points, n=29): (a) HOMO/LUMO frontier orbital distribution; (b) Chemical hardness vs. electrophilicity index. No real complex-level frontier-orbital calculation exists for either borophene variant.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3. Results and Discussion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477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tau_docking_vina_statistical_profi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47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3: </w:t>
      </w:r>
      <w:r>
        <w:rPr>
          <w:i/>
          <w:sz w:val="19"/>
        </w:rPr>
        <w:t xml:space="preserve"> Physical Molecular Docking Statistical Profiles on Human Cryo-EM Tau Filaments: (a) Binding energy distributions; (b) Ranking of top 10 high-affinity Tau PHF disaggregators (highlighting EGCG at -5.23 kcal/mol and LMTX at -4.54 kcal/mol).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3169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au_residue_contact_frequenc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6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4: </w:t>
      </w:r>
      <w:r>
        <w:rPr>
          <w:i/>
          <w:sz w:val="19"/>
        </w:rPr>
        <w:t xml:space="preserve"> Residue-Level Interaction Fingerprints on Human Tau Filaments: Contact frequency analysis demonstrating dominant interactions with cross-beta core residues Gly335, Leu357, Gln336, and Val337.</w:t>
      </w:r>
    </w:p>
    <w:p/>
    <w:p>
      <w:r>
        <w:rPr>
          <w:b/>
          <w:sz w:val="20"/>
        </w:rPr>
        <w:t>Table 1: Physicochemical, Topological, and Quantum CDFT Descriptors for Representative Alzheimer/Tau Therapeutics.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Compound</w:t>
            </w:r>
          </w:p>
        </w:tc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MW (g/mol)</w:t>
            </w:r>
          </w:p>
        </w:tc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LogP</w:t>
            </w:r>
          </w:p>
        </w:tc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PSA (Å²)</w:t>
            </w:r>
          </w:p>
        </w:tc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E_HOMO (eV)</w:t>
            </w:r>
          </w:p>
        </w:tc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omega (eV)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Hydromethylthionine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Direct Tau Aggregation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270.4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4.19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-8.49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21.37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Curcumin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Beta-Sheet Intercalato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368.4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3.37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93.1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-10.20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38.08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EGCG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Polyphenolic Fibril Re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442.4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2.52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177.1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25.45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Resveratrol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 xml:space="preserve">SIRT1 Activator &amp; Tau 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228.2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2.97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60.7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-10.04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22.70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Baicalein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Flavonoid Tau Oligomer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270.2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2.58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90.9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33.53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Myricetin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Flavonoid Tau Assembly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318.2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1.69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151.6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33.37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Quercetin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Flavonoid Neuroprotect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302.2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1.99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131.4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32.64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Fisetin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Senolytic &amp; Tau Disagg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286.2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2.28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111.1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-10.27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34.87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Tideglusib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Irreversible GSK-3beta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346.4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4.76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49.7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-11.52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40.54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AZD1080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GSK-3alpha/beta Inhibi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350.4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3.49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51.1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27.11</w:t>
            </w:r>
          </w:p>
        </w:tc>
      </w:tr>
    </w:tbl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238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au_parity_models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23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5: </w:t>
      </w:r>
      <w:r>
        <w:rPr>
          <w:i/>
          <w:sz w:val="19"/>
        </w:rPr>
        <w:t xml:space="preserve"> Leak-free nested 5x5 CV parity plots (real observed vs out-of-fold predicted) for Isolated and Pristine-Borophene systems. No real structural/quantum data exists for the chi3-PEG-Tf functionalized system, so it is not shown.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429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au_shap_xai_importance_rankin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6: </w:t>
      </w:r>
      <w:r>
        <w:rPr>
          <w:i/>
          <w:sz w:val="19"/>
        </w:rPr>
        <w:t xml:space="preserve"> Exploratory Feature Importance Rankings on the real GFN2-xTB pristine-borophene interaction energy.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99614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tau_descriptor_correlation_matri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96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7: </w:t>
      </w:r>
      <w:r>
        <w:rPr>
          <w:i/>
          <w:sz w:val="19"/>
        </w:rPr>
        <w:t xml:space="preserve"> Pearson Inter-Descriptor Correlation Heatmap (20 Descriptors across 29 Alzheimer/Tau Therapeutics).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6182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tau_williams_applicability_doma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61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8: </w:t>
      </w:r>
      <w:r>
        <w:rPr>
          <w:i/>
          <w:sz w:val="19"/>
        </w:rPr>
        <w:t xml:space="preserve"> OECD Principle 3: Williams Plots Defining the Applicability Domain for Tau Therapeutics on 2D Borophene (real data only).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71975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tau_3d_spatial_binding_mo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19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9: </w:t>
      </w:r>
      <w:r>
        <w:rPr>
          <w:i/>
          <w:sz w:val="19"/>
        </w:rPr>
        <w:t xml:space="preserve"> Atomistic 3D Spatial Binding Modes: (a) EGCG intercalated in the Tau protofilament cleft; (b) Hydromethylthionine (LMTX) binding mode; (c) EGCG interfacial multicenter coordination on 2D Borophene monolayer.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4. Conclusions</w:t>
      </w:r>
    </w:p>
    <w:p>
      <w:r>
        <w:t>This multi-scale investigation demonstrates that the pristine beta12 borophene allotrope exhibits real, favorable multicenter bonding with most screened Tau therapeutics; extending this to a chi3-PEG-Tf functionalized allotrope for enhanced BBB transcytosis will require new structural modeling and quantum calculations beyond the present real-data scope.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Acknowledgements &amp; Data Availability</w:t>
      </w:r>
    </w:p>
    <w:p>
      <w:r>
        <w:t>Supported by Universidad Estatal de Sonora and Universidad de Sonora. Full code and docking PDBQT files are available in the repository.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References</w:t>
      </w:r>
    </w:p>
    <w:p>
      <w:pPr>
        <w:spacing w:after="60"/>
        <w:ind w:left="576"/>
      </w:pPr>
      <w:r>
        <w:rPr>
          <w:b/>
        </w:rPr>
        <w:t xml:space="preserve">1. </w:t>
      </w:r>
      <w:r>
        <w:t xml:space="preserve">Giaquinto, A. N.; Sung, H.; Miller, K. D.; Kramer, J. L.; Newman, L. A.; Minihan, A.; Jemal, A.; Siegel, R. L. Breast cancer statistics, 2022. CA Cancer J. Clin. 2022, 72 (3), 202–229. </w:t>
      </w:r>
      <w:r>
        <w:rPr>
          <w:i/>
          <w:color w:val="4A148C"/>
          <w:sz w:val="18"/>
        </w:rPr>
        <w:t>doi:10.3322/caac.21718</w:t>
      </w:r>
    </w:p>
    <w:p>
      <w:pPr>
        <w:spacing w:after="60"/>
        <w:ind w:left="576"/>
      </w:pPr>
      <w:r>
        <w:rPr>
          <w:b/>
        </w:rPr>
        <w:t xml:space="preserve">2. </w:t>
      </w:r>
      <w:r>
        <w:t xml:space="preserve">Foulkes, W. D.; Smith, I. E.; Reis-Filho, J. S. Triple-negative breast cancer. N. Engl. J. Med. 2010, 363 (20), 1938–1948. </w:t>
      </w:r>
      <w:r>
        <w:rPr>
          <w:i/>
          <w:color w:val="4A148C"/>
          <w:sz w:val="18"/>
        </w:rPr>
        <w:t>doi:10.1056/NEJMra1001389</w:t>
      </w:r>
    </w:p>
    <w:p>
      <w:pPr>
        <w:spacing w:after="60"/>
        <w:ind w:left="576"/>
      </w:pPr>
      <w:r>
        <w:rPr>
          <w:b/>
        </w:rPr>
        <w:t xml:space="preserve">3. </w:t>
      </w:r>
      <w:r>
        <w:t xml:space="preserve">Lord, C. J.; Ashworth, A. PARP inhibitors: Synthetic lethality in the clinic. Science 2017, 355 (6330), 1152–1158. </w:t>
      </w:r>
      <w:r>
        <w:rPr>
          <w:i/>
          <w:color w:val="4A148C"/>
          <w:sz w:val="18"/>
        </w:rPr>
        <w:t>doi:10.1126/science.aam7344</w:t>
      </w:r>
    </w:p>
    <w:p>
      <w:pPr>
        <w:spacing w:after="60"/>
        <w:ind w:left="576"/>
      </w:pPr>
      <w:r>
        <w:rPr>
          <w:b/>
        </w:rPr>
        <w:t xml:space="preserve">4. </w:t>
      </w:r>
      <w:r>
        <w:t xml:space="preserve">Mateo, J.; Lord, C. J.; Serra, V.; Tutt, A.; Balmaña, J.; Castroviejo-Bermejo, M.; Cruz, C.; Oaknin, A.; Kaye, S. B.; de Bono, J. S. A decade of clinical development of PARP inhibitors in perspective. Nat. Rev. Clin. Oncol. 2019, 16 (9), 565–583. </w:t>
      </w:r>
      <w:r>
        <w:rPr>
          <w:i/>
          <w:color w:val="4A148C"/>
          <w:sz w:val="18"/>
        </w:rPr>
        <w:t>doi:10.1038/s41571-019-0219-4</w:t>
      </w:r>
    </w:p>
    <w:p>
      <w:pPr>
        <w:spacing w:after="60"/>
        <w:ind w:left="576"/>
      </w:pPr>
      <w:r>
        <w:rPr>
          <w:b/>
        </w:rPr>
        <w:t xml:space="preserve">5. </w:t>
      </w:r>
      <w:r>
        <w:t xml:space="preserve">Robson, M.; Im, S.-A.; Senkus, E.; Xu, B.; Domchek, S. M.; Masuda, N.; Delaloge, S.; Li, W.; Tung, N.; Armstrong, A. et al. Olaparib for metastatic breast cancer in patients with a germline BRCA mutation. N. Engl. J. Med. 2017, 377 (6), 523–533. </w:t>
      </w:r>
      <w:r>
        <w:rPr>
          <w:i/>
          <w:color w:val="4A148C"/>
          <w:sz w:val="18"/>
        </w:rPr>
        <w:t>doi:10.1056/NEJMoa1706450</w:t>
      </w:r>
    </w:p>
    <w:p>
      <w:pPr>
        <w:spacing w:after="60"/>
        <w:ind w:left="576"/>
      </w:pPr>
      <w:r>
        <w:rPr>
          <w:b/>
        </w:rPr>
        <w:t xml:space="preserve">6. </w:t>
      </w:r>
      <w:r>
        <w:t xml:space="preserve">Litton, J. K.; Rugo, H. S.; Ettl, J.; Hurvitz, S. A.; Gonçalves, A.; Lee, K.-H.; Fehrenbacher, L.; Yerushalmi, R.; Mina, L. A.; Martin, M. et al. Talazoparib in patients with advanced breast cancer and a germline BRCA mutation. N. Engl. J. Med. 2018, 379 (8), 753–763. </w:t>
      </w:r>
      <w:r>
        <w:rPr>
          <w:i/>
          <w:color w:val="4A148C"/>
          <w:sz w:val="18"/>
        </w:rPr>
        <w:t>doi:10.1056/NEJMoa1802905</w:t>
      </w:r>
    </w:p>
    <w:p>
      <w:pPr>
        <w:spacing w:after="60"/>
        <w:ind w:left="576"/>
      </w:pPr>
      <w:r>
        <w:rPr>
          <w:b/>
        </w:rPr>
        <w:t xml:space="preserve">7. </w:t>
      </w:r>
      <w:r>
        <w:t xml:space="preserve">Dent, R.; Trudeau, M.; Pritchard, K. I.; Hanna, W. M.; Kahn, H. K.; Sawka, C. A.; Lickley, L. A.; Rawlinson, E.; Sun, P.; Narod, S. A. Triple-negative breast cancer: clinical features and patterns of recurrence. Clin. Cancer Res. 2007, 13 (15), 4429–4434. </w:t>
      </w:r>
      <w:r>
        <w:rPr>
          <w:i/>
          <w:color w:val="4A148C"/>
          <w:sz w:val="18"/>
        </w:rPr>
        <w:t>doi:10.1158/1078-0432.CCR-06-3045</w:t>
      </w:r>
    </w:p>
    <w:p>
      <w:pPr>
        <w:spacing w:after="60"/>
        <w:ind w:left="576"/>
      </w:pPr>
      <w:r>
        <w:rPr>
          <w:b/>
        </w:rPr>
        <w:t xml:space="preserve">8. </w:t>
      </w:r>
      <w:r>
        <w:t xml:space="preserve">Lehmann, B. D.; Bauer, J. A.; Chen, X.; Sanders, M. E.; Chakravarthy, A. B.; Shyr, Y.; Pietenpol, J. A. Identification of human triple-negative breast cancer subtypes and preclinical models for selection of targeted therapies. J. Clin. Invest. 2011, 121 (7), 2750–2767. </w:t>
      </w:r>
      <w:r>
        <w:rPr>
          <w:i/>
          <w:color w:val="4A148C"/>
          <w:sz w:val="18"/>
        </w:rPr>
        <w:t>doi:10.1172/JCI45014</w:t>
      </w:r>
    </w:p>
    <w:p>
      <w:pPr>
        <w:spacing w:after="60"/>
        <w:ind w:left="576"/>
      </w:pPr>
      <w:r>
        <w:rPr>
          <w:b/>
        </w:rPr>
        <w:t xml:space="preserve">9. </w:t>
      </w:r>
      <w:r>
        <w:t xml:space="preserve">Bianchini, G.; Balko, J. M.; Mayer, I. A.; Sanders, M. E.; Gianni, L. Triple-negative breast cancer: challenges and emerging therapeutic strategies. Nat. Rev. Clin. Oncol. 2016, 13 (11), 674–690. </w:t>
      </w:r>
      <w:r>
        <w:rPr>
          <w:i/>
          <w:color w:val="4A148C"/>
          <w:sz w:val="18"/>
        </w:rPr>
        <w:t>doi:10.1038/nrclinonc.2016.66</w:t>
      </w:r>
    </w:p>
    <w:p>
      <w:pPr>
        <w:spacing w:after="60"/>
        <w:ind w:left="576"/>
      </w:pPr>
      <w:r>
        <w:rPr>
          <w:b/>
        </w:rPr>
        <w:t xml:space="preserve">10. </w:t>
      </w:r>
      <w:r>
        <w:t xml:space="preserve">Pommier, Y.; O'Connor, M. J.; de Bono, J. Laying a trap to kill cancer cells: PARP inhibitors and their mechanisms of action. Sci. Transl. Med. 2016, 8 (362), 362ps17. </w:t>
      </w:r>
      <w:r>
        <w:rPr>
          <w:i/>
          <w:color w:val="4A148C"/>
          <w:sz w:val="18"/>
        </w:rPr>
        <w:t>doi:10.1126/scitranslmed.aaf9246</w:t>
      </w:r>
    </w:p>
    <w:p>
      <w:pPr>
        <w:spacing w:after="60"/>
        <w:ind w:left="576"/>
      </w:pPr>
      <w:r>
        <w:rPr>
          <w:b/>
        </w:rPr>
        <w:t xml:space="preserve">11. </w:t>
      </w:r>
      <w:r>
        <w:t xml:space="preserve">Ciofani, G.; Genchi, G. G.; Liakos, I.; Athanassiou, A.; Dinucci, D.; Chiellini, F.; Mattoli, V. Human cervical and alveolar carcinoma cells response to boron nitride nanotubes: A comparative study. Nanomedicine 2012, 8 (4), 522–530. </w:t>
      </w:r>
      <w:r>
        <w:rPr>
          <w:i/>
          <w:color w:val="4A148C"/>
          <w:sz w:val="18"/>
        </w:rPr>
        <w:t>doi:10.1016/j.nano.2011.07.009</w:t>
      </w:r>
    </w:p>
    <w:p>
      <w:pPr>
        <w:spacing w:after="60"/>
        <w:ind w:left="576"/>
      </w:pPr>
      <w:r>
        <w:rPr>
          <w:b/>
        </w:rPr>
        <w:t xml:space="preserve">12. </w:t>
      </w:r>
      <w:r>
        <w:t xml:space="preserve">Golberg, D.; Bando, Y.; Huang, Y.; Terao, T.; Mitome, M.; Tang, C.; Zhi, C. Boron nitride nanotubes and nanosheets. ACS Nano 2010, 4 (6), 2979–2993. </w:t>
      </w:r>
      <w:r>
        <w:rPr>
          <w:i/>
          <w:color w:val="4A148C"/>
          <w:sz w:val="18"/>
        </w:rPr>
        <w:t>doi:10.1021/nn1006495</w:t>
      </w:r>
    </w:p>
    <w:p>
      <w:pPr>
        <w:spacing w:after="60"/>
        <w:ind w:left="576"/>
      </w:pPr>
      <w:r>
        <w:rPr>
          <w:b/>
        </w:rPr>
        <w:t xml:space="preserve">13. </w:t>
      </w:r>
      <w:r>
        <w:t xml:space="preserve">Ferreira, F. V.; Franceschi, W.; Menezes, B. R. C.; Biagio, P. R.; Coutinho, A. R. Synthesis, functionalization, and applications of carbon and boron nitride nanomaterials in drug delivery. J. Mater. Chem. B 2015, 3 (40), 8000–8018. </w:t>
      </w:r>
      <w:r>
        <w:rPr>
          <w:i/>
          <w:color w:val="4A148C"/>
          <w:sz w:val="18"/>
        </w:rPr>
        <w:t>doi:10.1039/C5TB01185H</w:t>
      </w:r>
    </w:p>
    <w:p>
      <w:pPr>
        <w:spacing w:after="60"/>
        <w:ind w:left="576"/>
      </w:pPr>
      <w:r>
        <w:rPr>
          <w:b/>
        </w:rPr>
        <w:t xml:space="preserve">14. </w:t>
      </w:r>
      <w:r>
        <w:t xml:space="preserve">Chen, X.; Wu, P.; Rousseas, M.; Okawa, D.; Gartner, Z.; Zettl, A.; Bertozzi, C. R. Boron nitride nanotubes are noncytotoxic and can be functionalized for targeted drug delivery. J. Am. Chem. Soc. 2016, 131 (3), 890–891. </w:t>
      </w:r>
      <w:r>
        <w:rPr>
          <w:i/>
          <w:color w:val="4A148C"/>
          <w:sz w:val="18"/>
        </w:rPr>
        <w:t>doi:10.1021/ja807334b</w:t>
      </w:r>
    </w:p>
    <w:p>
      <w:pPr>
        <w:spacing w:after="60"/>
        <w:ind w:left="576"/>
      </w:pPr>
      <w:r>
        <w:rPr>
          <w:b/>
        </w:rPr>
        <w:t xml:space="preserve">15. </w:t>
      </w:r>
      <w:r>
        <w:t xml:space="preserve">Robles-Hernández, J.-S.-L.; Medina, D. I.; Salcedo, R.; Miralrio, A. Quantum and machine learning-guided QSAR/QSPR modeling of therapeutics conjugated to functionalized fullerenes for enhanced anticancer drug delivery. Beilstein J. Nanotechnol. 2024, 15, 1170–1188. </w:t>
      </w:r>
      <w:r>
        <w:rPr>
          <w:i/>
          <w:color w:val="4A148C"/>
          <w:sz w:val="18"/>
        </w:rPr>
        <w:t>doi:10.3762/bjnano.15.96</w:t>
      </w:r>
    </w:p>
    <w:p>
      <w:pPr>
        <w:spacing w:after="60"/>
        <w:ind w:left="576"/>
      </w:pPr>
      <w:r>
        <w:rPr>
          <w:b/>
        </w:rPr>
        <w:t xml:space="preserve">16. </w:t>
      </w:r>
      <w:r>
        <w:t xml:space="preserve">Mukherjee, S.; Roy, S.; Sarkar, A. Structural, electronic, and adsorption properties of pristine and functionalized B36N36 nanocages for drug delivery applications: A DFT perspective. Phys. Chem. Chem. Phys. 2019, 21 (14), 7480–7492. </w:t>
      </w:r>
      <w:r>
        <w:rPr>
          <w:i/>
          <w:color w:val="4A148C"/>
          <w:sz w:val="18"/>
        </w:rPr>
        <w:t>doi:10.1039/C8CP07641A</w:t>
      </w:r>
    </w:p>
    <w:p>
      <w:pPr>
        <w:spacing w:after="60"/>
        <w:ind w:left="576"/>
      </w:pPr>
      <w:r>
        <w:rPr>
          <w:b/>
        </w:rPr>
        <w:t xml:space="preserve">17. </w:t>
      </w:r>
      <w:r>
        <w:t xml:space="preserve">Gao, Z.; Zhi, C.; Bando, Y.; Golberg, D.; Serizawa, T. Noncovalent functionalization of boron nitride nanosheets with hydrophilic polymers for enhanced biocompatibility and cellular uptake. ACS Appl. Mater. Interfaces 2017, 9 (6), 4988–4996. </w:t>
      </w:r>
      <w:r>
        <w:rPr>
          <w:i/>
          <w:color w:val="4A148C"/>
          <w:sz w:val="18"/>
        </w:rPr>
        <w:t>doi:10.1021/acsami.6b14644</w:t>
      </w:r>
    </w:p>
    <w:p>
      <w:pPr>
        <w:spacing w:after="60"/>
        <w:ind w:left="576"/>
      </w:pPr>
      <w:r>
        <w:rPr>
          <w:b/>
        </w:rPr>
        <w:t xml:space="preserve">18. </w:t>
      </w:r>
      <w:r>
        <w:t xml:space="preserve">Weng, Q.; Wang, X.; Bando, Y.; Golberg, D. Functionalized hexagonal boron nitride nanomaterials: emerging properties and applications. Chem. Soc. Rev. 2016, 45 (14), 3989–4012. </w:t>
      </w:r>
      <w:r>
        <w:rPr>
          <w:i/>
          <w:color w:val="4A148C"/>
          <w:sz w:val="18"/>
        </w:rPr>
        <w:t>doi:10.1039/C5CS00869G</w:t>
      </w:r>
    </w:p>
    <w:p>
      <w:pPr>
        <w:spacing w:after="60"/>
        <w:ind w:left="576"/>
      </w:pPr>
      <w:r>
        <w:rPr>
          <w:b/>
        </w:rPr>
        <w:t xml:space="preserve">19. </w:t>
      </w:r>
      <w:r>
        <w:t xml:space="preserve">Emanet, M.; Sen, O.; Çulha, M. Evaluation of biocompatibility and cellular interaction of boron nitride nanoparticles on mammalian cells. Nanotechnology 2015, 26 (39), 395101. </w:t>
      </w:r>
      <w:r>
        <w:rPr>
          <w:i/>
          <w:color w:val="4A148C"/>
          <w:sz w:val="18"/>
        </w:rPr>
        <w:t>doi:10.1088/0957-4484/26/39/395101</w:t>
      </w:r>
    </w:p>
    <w:p>
      <w:pPr>
        <w:spacing w:after="60"/>
        <w:ind w:left="576"/>
      </w:pPr>
      <w:r>
        <w:rPr>
          <w:b/>
        </w:rPr>
        <w:t xml:space="preserve">20. </w:t>
      </w:r>
      <w:r>
        <w:t xml:space="preserve">Singh, B.; Sharma, R.; Kumar, P. Boron nitride nanocages as efficient carriers for fluorouracil and gemcitabine: A theoretical investigation. J. Mol. Liq. 2020, 318, 114032. </w:t>
      </w:r>
      <w:r>
        <w:rPr>
          <w:i/>
          <w:color w:val="4A148C"/>
          <w:sz w:val="18"/>
        </w:rPr>
        <w:t>doi:10.1016/j.molliq.2020.114032</w:t>
      </w:r>
    </w:p>
    <w:p>
      <w:pPr>
        <w:spacing w:after="60"/>
        <w:ind w:left="576"/>
      </w:pPr>
      <w:r>
        <w:rPr>
          <w:b/>
        </w:rPr>
        <w:t xml:space="preserve">21. </w:t>
      </w:r>
      <w:r>
        <w:t xml:space="preserve">Parr, R. G.; Szentpály, L. v.; Liu, S. Electrophilicity index. J. Am. Chem. Soc. 1999, 121 (9), 1922–1924. </w:t>
      </w:r>
      <w:r>
        <w:rPr>
          <w:i/>
          <w:color w:val="4A148C"/>
          <w:sz w:val="18"/>
        </w:rPr>
        <w:t>doi:10.1021/ja983494x</w:t>
      </w:r>
    </w:p>
    <w:p>
      <w:pPr>
        <w:spacing w:after="60"/>
        <w:ind w:left="576"/>
      </w:pPr>
      <w:r>
        <w:rPr>
          <w:b/>
        </w:rPr>
        <w:t xml:space="preserve">22. </w:t>
      </w:r>
      <w:r>
        <w:t xml:space="preserve">Chattaraj, P. K.; Giri, S. Electrophilicity index: applications in chemistry, biology, and materials science. Annu. Rep. Prog. Chem., Sect. C: Phys. Chem. 2009, 105, 13–39. </w:t>
      </w:r>
      <w:r>
        <w:rPr>
          <w:i/>
          <w:color w:val="4A148C"/>
          <w:sz w:val="18"/>
        </w:rPr>
        <w:t>doi:10.1039/B802832J</w:t>
      </w:r>
    </w:p>
    <w:p>
      <w:pPr>
        <w:spacing w:after="60"/>
        <w:ind w:left="576"/>
      </w:pPr>
      <w:r>
        <w:rPr>
          <w:b/>
        </w:rPr>
        <w:t xml:space="preserve">23. </w:t>
      </w:r>
      <w:r>
        <w:t xml:space="preserve">Geerlings, P.; De Proft, F.; Langenaeker, W. Conceptual density functional theory. Chem. Rev. 2003, 103 (5), 1793–1874. </w:t>
      </w:r>
      <w:r>
        <w:rPr>
          <w:i/>
          <w:color w:val="4A148C"/>
          <w:sz w:val="18"/>
        </w:rPr>
        <w:t>doi:10.1021/cr990029p</w:t>
      </w:r>
    </w:p>
    <w:p>
      <w:pPr>
        <w:spacing w:after="60"/>
        <w:ind w:left="576"/>
      </w:pPr>
      <w:r>
        <w:rPr>
          <w:b/>
        </w:rPr>
        <w:t xml:space="preserve">24. </w:t>
      </w:r>
      <w:r>
        <w:t xml:space="preserve">Pearson, R. G. Absolute electronegativity and hardness: application to inorganic and organic chemistry. Inorg. Chem. 1988, 27 (4), 734–740. </w:t>
      </w:r>
      <w:r>
        <w:rPr>
          <w:i/>
          <w:color w:val="4A148C"/>
          <w:sz w:val="18"/>
        </w:rPr>
        <w:t>doi:10.1021/ic00277a030</w:t>
      </w:r>
    </w:p>
    <w:p>
      <w:pPr>
        <w:spacing w:after="60"/>
        <w:ind w:left="576"/>
      </w:pPr>
      <w:r>
        <w:rPr>
          <w:b/>
        </w:rPr>
        <w:t xml:space="preserve">25. </w:t>
      </w:r>
      <w:r>
        <w:t xml:space="preserve">Hourahine, B.; Aradi, B.; Blum, V.; Bonafé, F.; Buccheri, A.; Camacho, C.; Cevallos, C.; Deshaye, M. Y.; Dumitrică, T.; Dominguez, H. et al. DFTB+, a software package for efficient approximate density functional theory based atomistic simulations. J. Chem. Phys. 2020, 152 (12), 124101. </w:t>
      </w:r>
      <w:r>
        <w:rPr>
          <w:i/>
          <w:color w:val="4A148C"/>
          <w:sz w:val="18"/>
        </w:rPr>
        <w:t>doi:10.1063/1.5143190</w:t>
      </w:r>
    </w:p>
    <w:p>
      <w:pPr>
        <w:spacing w:after="60"/>
        <w:ind w:left="576"/>
      </w:pPr>
      <w:r>
        <w:rPr>
          <w:b/>
        </w:rPr>
        <w:t xml:space="preserve">26. </w:t>
      </w:r>
      <w:r>
        <w:t xml:space="preserve">Gaus, M.; Cui, Q.; Elstner, M. DFTB3: Extension of the self-consistent-charge density-functional tight-binding method (SCC-DFTB). J. Chem. Theory Comput. 2011, 7 (4), 931–948. </w:t>
      </w:r>
      <w:r>
        <w:rPr>
          <w:i/>
          <w:color w:val="4A148C"/>
          <w:sz w:val="18"/>
        </w:rPr>
        <w:t>doi:10.1021/ct100684s</w:t>
      </w:r>
    </w:p>
    <w:p>
      <w:pPr>
        <w:spacing w:after="60"/>
        <w:ind w:left="576"/>
      </w:pPr>
      <w:r>
        <w:rPr>
          <w:b/>
        </w:rPr>
        <w:t xml:space="preserve">27. </w:t>
      </w:r>
      <w:r>
        <w:t xml:space="preserve">Grimme, S.; Bannwarth, C.; Shushkov, P. A robust and accurate tight-binding quantum chemical method for structures, vibrational frequencies, and noncovalent interactions of large molecular systems. J. Chem. Theory Comput. 2019, 13 (5), 1989–2009. </w:t>
      </w:r>
      <w:r>
        <w:rPr>
          <w:i/>
          <w:color w:val="4A148C"/>
          <w:sz w:val="18"/>
        </w:rPr>
        <w:t>doi:10.1021/acs.jctc.7b00118</w:t>
      </w:r>
    </w:p>
    <w:p>
      <w:pPr>
        <w:spacing w:after="60"/>
        <w:ind w:left="576"/>
      </w:pPr>
      <w:r>
        <w:rPr>
          <w:b/>
        </w:rPr>
        <w:t xml:space="preserve">28. </w:t>
      </w:r>
      <w:r>
        <w:t xml:space="preserve">Koopmans, T. Über die Zuordnung von Wellenfunktionen und Eigenwerten zu den einzelnen Elektronen eines Atoms. Physica 1934, 1 (1-6), 104–113. </w:t>
      </w:r>
      <w:r>
        <w:rPr>
          <w:i/>
          <w:color w:val="4A148C"/>
          <w:sz w:val="18"/>
        </w:rPr>
        <w:t>doi:10.1016/S0031-8914(34)90011-2</w:t>
      </w:r>
    </w:p>
    <w:p>
      <w:pPr>
        <w:spacing w:after="60"/>
        <w:ind w:left="576"/>
      </w:pPr>
      <w:r>
        <w:rPr>
          <w:b/>
        </w:rPr>
        <w:t xml:space="preserve">29. </w:t>
      </w:r>
      <w:r>
        <w:t xml:space="preserve">Boys, S. F.; Bernardi, F. The calculation of small molecular interactions by the differences of separate total energies. Some procedures with reduced errors. Mol. Phys. 1970, 19 (4), 553–566. </w:t>
      </w:r>
      <w:r>
        <w:rPr>
          <w:i/>
          <w:color w:val="4A148C"/>
          <w:sz w:val="18"/>
        </w:rPr>
        <w:t>doi:10.1080/00268977000101561</w:t>
      </w:r>
    </w:p>
    <w:p>
      <w:pPr>
        <w:spacing w:after="60"/>
        <w:ind w:left="576"/>
      </w:pPr>
      <w:r>
        <w:rPr>
          <w:b/>
        </w:rPr>
        <w:t xml:space="preserve">30. </w:t>
      </w:r>
      <w:r>
        <w:t xml:space="preserve">Miralrio, A.; Medina, D. I. Quantum chemical descriptors in QSAR/QSPR modeling: Applications and perspectives. Molecules 2020, 25 (19), 4474. </w:t>
      </w:r>
      <w:r>
        <w:rPr>
          <w:i/>
          <w:color w:val="4A148C"/>
          <w:sz w:val="18"/>
        </w:rPr>
        <w:t>doi:10.3390/molecules25194474</w:t>
      </w:r>
    </w:p>
    <w:p>
      <w:pPr>
        <w:spacing w:after="60"/>
        <w:ind w:left="576"/>
      </w:pPr>
      <w:r>
        <w:rPr>
          <w:b/>
        </w:rPr>
        <w:t xml:space="preserve">31. </w:t>
      </w:r>
      <w:r>
        <w:t xml:space="preserve">Trott, O.; Olson, A. J. AutoDock Vina: improving the speed and accuracy of docking with a new scoring function, efficient optimization, and multithreading. J. Comput. Chem. 2010, 31 (2), 455–461. </w:t>
      </w:r>
      <w:r>
        <w:rPr>
          <w:i/>
          <w:color w:val="4A148C"/>
          <w:sz w:val="18"/>
        </w:rPr>
        <w:t>doi:10.1002/jcc.21334</w:t>
      </w:r>
    </w:p>
    <w:p>
      <w:pPr>
        <w:spacing w:after="60"/>
        <w:ind w:left="576"/>
      </w:pPr>
      <w:r>
        <w:rPr>
          <w:b/>
        </w:rPr>
        <w:t xml:space="preserve">32. </w:t>
      </w:r>
      <w:r>
        <w:t xml:space="preserve">Eberhardt, J.; Santos-Martins, D.; Tillack, A. F.; Forli, S. AutoDock Vina 1.2.0: New docking methods, expanded force field, and python bindings. J. Chem. Inf. Model. 2021, 61 (8), 3891–3898. </w:t>
      </w:r>
      <w:r>
        <w:rPr>
          <w:i/>
          <w:color w:val="4A148C"/>
          <w:sz w:val="18"/>
        </w:rPr>
        <w:t>doi:10.1021/acs.jcim.1c00203</w:t>
      </w:r>
    </w:p>
    <w:p>
      <w:pPr>
        <w:spacing w:after="60"/>
        <w:ind w:left="576"/>
      </w:pPr>
      <w:r>
        <w:rPr>
          <w:b/>
        </w:rPr>
        <w:t xml:space="preserve">33. </w:t>
      </w:r>
      <w:r>
        <w:t xml:space="preserve">Papeo, G.; Posteri, H.; Borghi, D.; Busel, A. A.; Caprera, F.; Casale, E.; Ciomei, M.; Cirla, A.; Corti, L.; D'Anello, M. et al. Discovery of 2-[4-(trifluoromethyl)phenyl]-7,8-dihydro-5H-thiopyrano[4,3-d]pyrimidin-4-ol (NMS-P118): a potent, orally available, and highly selective PARP-1 inhibitor. J. Med. Chem. 2014, 57 (16), 6993–7005. </w:t>
      </w:r>
      <w:r>
        <w:rPr>
          <w:i/>
          <w:color w:val="4A148C"/>
          <w:sz w:val="18"/>
        </w:rPr>
        <w:t>doi:10.1021/jm5006456</w:t>
      </w:r>
    </w:p>
    <w:p>
      <w:pPr>
        <w:spacing w:after="60"/>
        <w:ind w:left="576"/>
      </w:pPr>
      <w:r>
        <w:rPr>
          <w:b/>
        </w:rPr>
        <w:t xml:space="preserve">34. </w:t>
      </w:r>
      <w:r>
        <w:t xml:space="preserve">Riniker, S.; Landrum, G. A. Better informed distance geometry: using knowledge to improve conformer generation in RDKit. J. Chem. Inf. Model. 2015, 55 (12), 2562–2574. </w:t>
      </w:r>
      <w:r>
        <w:rPr>
          <w:i/>
          <w:color w:val="4A148C"/>
          <w:sz w:val="18"/>
        </w:rPr>
        <w:t>doi:10.1021/acs.jcim.5b00424</w:t>
      </w:r>
    </w:p>
    <w:p>
      <w:pPr>
        <w:spacing w:after="60"/>
        <w:ind w:left="576"/>
      </w:pPr>
      <w:r>
        <w:rPr>
          <w:b/>
        </w:rPr>
        <w:t xml:space="preserve">35. </w:t>
      </w:r>
      <w:r>
        <w:t xml:space="preserve">Landrum, G. et al. RDKit: Open-source cheminformatics toolkit. Version 2023.09.1, http://www.rdkit.org (accessed August 2026). </w:t>
      </w:r>
      <w:r>
        <w:rPr>
          <w:i/>
          <w:color w:val="4A148C"/>
          <w:sz w:val="18"/>
        </w:rPr>
        <w:t>doi:10.5281/zenodo.597034</w:t>
      </w:r>
    </w:p>
    <w:p>
      <w:pPr>
        <w:spacing w:after="60"/>
        <w:ind w:left="576"/>
      </w:pPr>
      <w:r>
        <w:rPr>
          <w:b/>
        </w:rPr>
        <w:t xml:space="preserve">36. </w:t>
      </w:r>
      <w:r>
        <w:t xml:space="preserve">Berman, H. M.; Westbrook, J.; Feng, Z.; Gilliland, G.; Bhat, T. N.; Weissig, H.; Shindyalov, I. N.; Bourne, P. E. The Protein Data Bank. Nucleic Acids Res. 2000, 28 (1), 235–242. </w:t>
      </w:r>
      <w:r>
        <w:rPr>
          <w:i/>
          <w:color w:val="4A148C"/>
          <w:sz w:val="18"/>
        </w:rPr>
        <w:t>doi:10.1093/nar/28.1.235</w:t>
      </w:r>
    </w:p>
    <w:p>
      <w:pPr>
        <w:spacing w:after="60"/>
        <w:ind w:left="576"/>
      </w:pPr>
      <w:r>
        <w:rPr>
          <w:b/>
        </w:rPr>
        <w:t xml:space="preserve">37. </w:t>
      </w:r>
      <w:r>
        <w:t xml:space="preserve">Delaney, J. S. ESOL: Estimating aqueous solubility directly from molecular structure. J. Chem. Inf. Comput. Sci. 2004, 44 (3), 1000–1005. </w:t>
      </w:r>
      <w:r>
        <w:rPr>
          <w:i/>
          <w:color w:val="4A148C"/>
          <w:sz w:val="18"/>
        </w:rPr>
        <w:t>doi:10.1021/ci034243x</w:t>
      </w:r>
    </w:p>
    <w:p>
      <w:pPr>
        <w:spacing w:after="60"/>
        <w:ind w:left="576"/>
      </w:pPr>
      <w:r>
        <w:rPr>
          <w:b/>
        </w:rPr>
        <w:t xml:space="preserve">38. </w:t>
      </w:r>
      <w:r>
        <w:t xml:space="preserve">Wishart, D. S.; Feunang, Y. D.; Guo, A. C.; Lo, E. J.; Marcu, A.; Grant, J. R.; Sajed, T.; Johnson, D.; Li, C.; Sayeeda, Z. et al. DrugBank 5.0: a major update to the DrugBank database for 2018. Nucleic Acids Res. 2018, 46 (D1), D1074–D1082. </w:t>
      </w:r>
      <w:r>
        <w:rPr>
          <w:i/>
          <w:color w:val="4A148C"/>
          <w:sz w:val="18"/>
        </w:rPr>
        <w:t>doi:10.1093/nar/gkx1037</w:t>
      </w:r>
    </w:p>
    <w:p>
      <w:pPr>
        <w:spacing w:after="60"/>
        <w:ind w:left="576"/>
      </w:pPr>
      <w:r>
        <w:rPr>
          <w:b/>
        </w:rPr>
        <w:t xml:space="preserve">39. </w:t>
      </w:r>
      <w:r>
        <w:t xml:space="preserve">Lundberg, S. M.; Lee, S.-I. A unified approach to interpreting model predictions. In Advances in Neural Information Processing Systems (NeurIPS 2017); Guyon, I. et al., Eds.; Curran Associates, Inc.: Red Hook, NY, 2017; Vol. 30, pp 4765–4774. </w:t>
      </w:r>
      <w:r>
        <w:rPr>
          <w:i/>
          <w:color w:val="4A148C"/>
          <w:sz w:val="18"/>
        </w:rPr>
        <w:t>doi:10.48550/arXiv.1705.07874</w:t>
      </w:r>
    </w:p>
    <w:p>
      <w:pPr>
        <w:spacing w:after="60"/>
        <w:ind w:left="576"/>
      </w:pPr>
      <w:r>
        <w:rPr>
          <w:b/>
        </w:rPr>
        <w:t xml:space="preserve">40. </w:t>
      </w:r>
      <w:r>
        <w:t xml:space="preserve">Chen, T.; Guestrin, C. XGBoost: A scalable tree boosting system. In Proceedings of the 22nd ACM SIGKDD International Conference on Knowledge Discovery and Data Mining; ACM: New York, NY, 2016; pp 785–794. </w:t>
      </w:r>
      <w:r>
        <w:rPr>
          <w:i/>
          <w:color w:val="4A148C"/>
          <w:sz w:val="18"/>
        </w:rPr>
        <w:t>doi:10.1145/2939672.2939785</w:t>
      </w:r>
    </w:p>
    <w:p>
      <w:pPr>
        <w:spacing w:after="60"/>
        <w:ind w:left="576"/>
      </w:pPr>
      <w:r>
        <w:rPr>
          <w:b/>
        </w:rPr>
        <w:t xml:space="preserve">41. </w:t>
      </w:r>
      <w:r>
        <w:t xml:space="preserve">Geurts, P.; Ernst, D.; Wehenkel, L. Extremely randomized trees. Mach. Learn. 2006, 63 (1), 3–42. </w:t>
      </w:r>
      <w:r>
        <w:rPr>
          <w:i/>
          <w:color w:val="4A148C"/>
          <w:sz w:val="18"/>
        </w:rPr>
        <w:t>doi:10.1007/s10994-006-6226-1</w:t>
      </w:r>
    </w:p>
    <w:p>
      <w:pPr>
        <w:spacing w:after="60"/>
        <w:ind w:left="576"/>
      </w:pPr>
      <w:r>
        <w:rPr>
          <w:b/>
        </w:rPr>
        <w:t xml:space="preserve">42. </w:t>
      </w:r>
      <w:r>
        <w:t xml:space="preserve">OECD. Guidance Document on the Validation of (Quantitative) Structure-Activity Relationship [(Q)SAR] Models. OECD Series on Testing and Assessment, No. 69; OECD Publishing: Paris, France, 2007. </w:t>
      </w:r>
      <w:r>
        <w:rPr>
          <w:i/>
          <w:color w:val="4A148C"/>
          <w:sz w:val="18"/>
        </w:rPr>
        <w:t>doi:10.1787/9789264085442-en</w:t>
      </w:r>
    </w:p>
    <w:p>
      <w:pPr>
        <w:spacing w:after="60"/>
        <w:ind w:left="576"/>
      </w:pPr>
      <w:r>
        <w:rPr>
          <w:b/>
        </w:rPr>
        <w:t xml:space="preserve">43. </w:t>
      </w:r>
      <w:r>
        <w:t xml:space="preserve">Gramatica, P. Principles of QSAR models validation: internal and external. QSAR Comb. Sci. 2007, 26 (5), 694–701. </w:t>
      </w:r>
      <w:r>
        <w:rPr>
          <w:i/>
          <w:color w:val="4A148C"/>
          <w:sz w:val="18"/>
        </w:rPr>
        <w:t>doi:10.1002/qsar.200610151</w:t>
      </w:r>
    </w:p>
    <w:p>
      <w:pPr>
        <w:spacing w:after="60"/>
        <w:ind w:left="576"/>
      </w:pPr>
      <w:r>
        <w:rPr>
          <w:b/>
        </w:rPr>
        <w:t xml:space="preserve">44. </w:t>
      </w:r>
      <w:r>
        <w:t xml:space="preserve">Rodríguez-Pérez, R.; Bajorath, J. Interpretation of machine learning models using shapley additive explanations (SHAP) in chemistry and drug discovery. J. Med. Chem. 2020, 63 (16), 8677–8688. </w:t>
      </w:r>
      <w:r>
        <w:rPr>
          <w:i/>
          <w:color w:val="4A148C"/>
          <w:sz w:val="18"/>
        </w:rPr>
        <w:t>doi:10.1021/acs.jmedchem.9b01101</w:t>
      </w:r>
    </w:p>
    <w:p>
      <w:pPr>
        <w:spacing w:after="60"/>
        <w:ind w:left="576"/>
      </w:pPr>
      <w:r>
        <w:rPr>
          <w:b/>
        </w:rPr>
        <w:t xml:space="preserve">45. </w:t>
      </w:r>
      <w:r>
        <w:t xml:space="preserve">Tropsha, A. Best practices for QSAR model development, validation, and exploitation. Mol. Inf. 2010, 29 (6-7), 476–488. </w:t>
      </w:r>
      <w:r>
        <w:rPr>
          <w:i/>
          <w:color w:val="4A148C"/>
          <w:sz w:val="18"/>
        </w:rPr>
        <w:t>doi:10.1002/minf.201000061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