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4A148C"/>
        </w:rPr>
        <w:t>“Machine Learning-Driven Nano-QSAR and Quantum Chemical Design of Functionalized 2D Borophene Nanosheets for Targeted Disaggregation of Pathological Tau Fibrils in Alzheimer's Disease”</w:t>
      </w:r>
    </w:p>
    <w:p>
      <w:r>
        <w:t>for consideration for publication as a Full Research Article in the Beilstein Journal of Nanotechnology.</w:t>
      </w:r>
    </w:p>
    <w:p>
      <w:r>
        <w:t>We screened 29 Alzheimer's / Tau-directed therapeutics against a pristine beta-12 borophene cluster with GFN2-xTB, relaxing every drug-surface complex, and combined this with real AutoDock Vina docking against the cryo-EM Tau filament core (PDB 5O3L) and a leak-free nested cross-validated surrogate. The central result is that pristine beta-12 borophene is not an inert physisorptive carrier for this chemotype: 12 of the 29 ligands chemisorb, forming a covalent B-C or B-O bond (Delta_E_int,SP = -81 to -233 kcal/mol), while the remaining 17 physisorb at -8 to -44 kcal/mol. A descriptor-based QSPR of the physisorption energy is not predictive (Q2_CV = 0.06), so the model-free chemisorption/physisorption dichotomy is the contribution. A peptide-functionalized borophene is discussed only as future work. Every value in the manuscript is computed from the deposited pipeline; no descriptor or energy is estimated from an empirical formula.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