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adsorption of 29 Alzheimer's / Tau therapeutics on a pristine beta-12 borophene cluster, with every drug-surface complex relaxed (4 orientations); frontier-orbital and conceptual-DFT indices taken from the xtb output.</w:t>
      </w:r>
    </w:p>
    <w:p>
      <w:pPr>
        <w:ind w:left="432"/>
      </w:pPr>
      <w:r>
        <w:t>Central result: 12 of the 29 ligands chemisorb (covalent B-C/B-O, Delta_E_int,SP -81 to -233 kcal/mol); 17 physisorb (-8 to -44). Pristine borophene is a reactive surface, not a reversible carrier, for the pi-rich phenol/dye chemotype.</w:t>
      </w:r>
    </w:p>
    <w:p>
      <w:pPr>
        <w:ind w:left="432"/>
      </w:pPr>
      <w:r>
        <w:t>Physical AutoDock Vina v1.2.7 docking against the cryo-EM Tau filament core (PDB 5O3L).</w:t>
      </w:r>
    </w:p>
    <w:p>
      <w:pPr>
        <w:ind w:left="432"/>
      </w:pPr>
      <w:r>
        <w:t>Leak-free nested 5x5 cross-validated surrogate: Q2_CV = 0.30 (docking) and 0.06 (physisorption energy) - descriptor-based prediction is weak; the chemi/physisorption dichotomy is the model-free contribution.</w:t>
      </w:r>
    </w:p>
    <w:p>
      <w:pPr>
        <w:ind w:left="432"/>
      </w:pPr>
      <w:r>
        <w:t>A peptide-functionalized borophene is proposed as future work; it has no real data in this study.</w:t>
      </w:r>
    </w:p>
    <w:p>
      <w:pPr>
        <w:ind w:left="432"/>
      </w:pPr>
      <w:r>
        <w:t>Full open-source pipeline and data archive (Zenodo 10.5281/zenodo.22187835).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