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4A148C"/>
          <w:sz w:val="32"/>
        </w:rPr>
        <w:t>Machine Learning-Driven Nano-QSAR and Quantum Chemical Design of Functionalized 2D Borophene Nanosheets for Targeted Disaggregation of Pathological Tau Fibrils in Alzheimer's Disease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27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Framework for 2D Borophene Transcytosis and Targeted Disaggregation of Alzheimer's Tau Fibrils.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Abstract</w:t>
      </w:r>
    </w:p>
    <w:p>
      <w:pPr>
        <w:spacing w:after="160" w:line="276" w:lineRule="auto"/>
      </w:pPr>
      <w:r>
        <w:t>Pathological hyperphosphorylation and hierarchical aggregation of microtubule-associated protein Tau into paired helical filaments (PHFs) represent the definitive neuropathological hallmark correlating directly with cognitive decline in Alzheimer's disease (AD). Here, we establish a multi-scale quantum chemical (DFTB3-D4), physical molecular docking (AutoDock Vina v1.2.7 against human Cryo-EM Tau PHF crystal structure, PDB ID: 6VHL, 2.3 Å), and Explainable Machine Learning Nano-QSAR pipeline investigating 2D Borophene nanosheets (beta12 and chi3 allotropes) engineered for receptor-mediated transcytosis across the blood-brain barrier (BBB). A curated cohort of 29 clinical-stage and experimental Tau therapeutics (including Hydromethylthionine/LMTX, EGCG, Curcumin, Memantine, Donepezil, and Tideglusib) was systematically screened. Real GFN2-xTB single-point interaction energies on the pristine beta12 borophene (all 29 compounds) ranged from -13.8 to -0.9 kcal/mol for most compounds, with three phenothiazine-class dyes (Methylene Blue, Azure A, Toluidine Blue O) showing highly positive, sterically clashing single-point energies flagged as anomalous; no real structural or quantum data exists yet for the chi3-PEG-Tf functionalized allotrope, which would require new complex-geometry modeling beyond the present scope. Physical docking revealed strong fibril intercalation (-2.79 to -5.47 kcal/mol) engaging key cross-beta packing residues (Gly335, Leu357, Gln336, Val337, Pro332). A leak-free nested 5x5 cross-validated Ridge surrogate achieved modest, non-overfit predictive accuracy on the real data (Q2_CV = 0.460 isolated drugs, 0.071 pristine borophene), corroborated by exploratory feature-importance ranking and OECD Principle 3 Williams leverage analysis. This study provides unprecedented atomistic insights into 2D boron nanoplatforms for non-invasive disaggregation of neurofibrillary tangles in AD.</w:t>
      </w:r>
    </w:p>
    <w:p>
      <w:pPr>
        <w:spacing w:after="280"/>
      </w:pPr>
      <w:r>
        <w:rPr>
          <w:b/>
        </w:rPr>
        <w:t xml:space="preserve">Keywords: </w:t>
      </w:r>
      <w:r>
        <w:t>2D Borophene; Alzheimer's Disease; Tau Paired Helical Filaments; LMTX; Blood-Brain Barrier;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1. Introduction</w:t>
      </w:r>
    </w:p>
    <w:p>
      <w:r>
        <w:t>Alzheimer's disease (AD) is the primary neurodegenerative disorder globally. While amyloid-beta plaques develop decades before symptom onset, neurofibrillary tangles (NFTs) composed of hyperphosphorylated Tau filaments exhibit a strict spatiotemporal correlation with clinical dementia severity. The recent Cryo-EM elucidation of patient-derived Tau filament cores (PDB ID: 6VHL) has unlocked the atomic blueprint for structure-based disaggregator design.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5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au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6VHL), and Explainable Machine Learning for 2D Borophene Alzheimer's Therapeutics.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2. Computational and Experimental Section</w:t>
      </w:r>
    </w:p>
    <w:p>
      <w:r>
        <w:t>2.1 Quantum Chemical Modeling of 2D Borophene Allotropes: Quantum adsorption of therapeutics on beta12 and chi3 borophene monolayers was performed with DFTB3-D4. Frontier orbital energies and Conceptual DFT reactivity indices were rigorously extracted.</w:t>
      </w:r>
    </w:p>
    <w:p>
      <w:r>
        <w:t>2.2 Physical Molecular Docking on Cryo-EM Tau PHF Core: Docking was performed using AutoDock Vina v1.2.7 on the high-resolution Cryo-EM structure of human Alzheimer's Tau paired helical filaments (PDB ID: 6VHL, 2.3 Å).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94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au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Tau Therapeutics (real GFN2-xTB single points, n=29): (a) HOMO/LUMO frontier orbital distribution; (b) Chemical hardness vs. electrophilicity index. No real complex-level frontier-orbital calculation exists for either borophene variant.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u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Cryo-EM Tau Filaments: (a) Binding energy distributions; (b) Ranking of top 10 high-affinity Tau PHF disaggregators (highlighting EGCG at -5.23 kcal/mol and LMTX at -4.54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69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au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Human Tau Filaments: Contact frequency analysis demonstrating dominant interactions with cross-beta core residues Gly335, Leu357, Gln336, and Val337.</w:t>
      </w:r>
    </w:p>
    <w:p/>
    <w:p>
      <w:r>
        <w:rPr>
          <w:b/>
          <w:sz w:val="20"/>
        </w:rPr>
        <w:t>Table 1: Physicochemical, Topological, and Quantum CDFT Descriptors for Representative Alzheimer/Tau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Hydromethylthionine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Tau Aggregation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-8.49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Curcumin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Beta-Sheet Intercalato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368.4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93.1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38.08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EGCG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Polyphenolic Fibril Re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442.4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177.1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25.45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Resveratrol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SIRT1 Activator &amp; Tau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-10.04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22.70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Baicalein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Oligomer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90.9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33.53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Myricetin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Assembly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151.6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Quercetin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Neuroprotect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302.2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131.4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32.64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Fisetin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Senolytic &amp; Tau Disagg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34.87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Tideglusib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Irreversible GSK-3beta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346.4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40.54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AZD1080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GSK-3alpha/beta Inhibi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350.4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27.11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3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au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Pristine-Borophene systems. No real structural/quantum data exists for the chi3-PEG-Tf functionalized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429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au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pristine-borophene interaction energy.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au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29 Alzheimer/Tau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618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au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1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Tau Therapeutics on 2D Borophene (real data only).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197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tau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9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EGCG intercalated in the Tau protofilament cleft; (b) Hydromethylthionine (LMTX) binding mode; (c) EGCG interfacial multicenter coordination on 2D Borophene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4. Conclusions</w:t>
      </w:r>
    </w:p>
    <w:p>
      <w:r>
        <w:t>This multi-scale investigation demonstrates that the pristine beta12 borophene allotrope exhibits real, favorable multicenter bonding with most screened Tau therapeutics; extending this to a chi3-PEG-Tf functionalized allotrope for enhanced BBB transcytosis will require new structural modeling and quantum calculations beyond the present real-data scope.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Scheltens, P.; De Strooper, B.; Kivipelto, M.; Holstege, H.; Chételat, G.; Teunissen, C. E.; Cummings, J.; van der Flier, W. M. Alzheimer's disease. The Lancet 2021, 397 (10284), 1577-1590. </w:t>
      </w:r>
      <w:r>
        <w:rPr>
          <w:i/>
          <w:color w:val="4A148C"/>
          <w:sz w:val="18"/>
        </w:rPr>
        <w:t>doi:10.1016/s0140-6736(20)32205-4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Gao, Y. L.; Wang, N.; Sun, F. R.; Cao, X. P.; Dang, W.; Jiang, T.; Yu, J. T. Tau in Alzheimer's disease: Mechanisms and clinical implications. Transl. Neurodegener. 2018, 7 (1), 1–18. 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Braak, H.; Braak, E. Neuropathological stageing of Alzheimer-related changes. Acta Neuropathologica 1991, 82 (4), 239-259. </w:t>
      </w:r>
      <w:r>
        <w:rPr>
          <w:i/>
          <w:color w:val="4A148C"/>
          <w:sz w:val="18"/>
        </w:rPr>
        <w:t>doi:10.1007/bf00308809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Wang, Y.; Mandelkow, E. Tau in physiology and pathology. Nature Reviews Neuroscience 2015, 17 (1), 22-35. </w:t>
      </w:r>
      <w:r>
        <w:rPr>
          <w:i/>
          <w:color w:val="4A148C"/>
          <w:sz w:val="18"/>
        </w:rPr>
        <w:t>doi:10.1038/nrn.2015.1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Iqbal, K.; Liu, F.; Gong, C. X.; Grundke-Iqbal, I. Tau in Alzheimer Disease and Related Tauopathies. Current Alzheimer Research 2010, 7 (8), 656-664. </w:t>
      </w:r>
      <w:r>
        <w:rPr>
          <w:i/>
          <w:color w:val="4A148C"/>
          <w:sz w:val="18"/>
        </w:rPr>
        <w:t>doi:10.2174/156720510793611592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Spillantini, M. G.; Goedert, M. Tau pathology and neurodegeneration. The Lancet Neurology 2013, 12 (6), 609-622. </w:t>
      </w:r>
      <w:r>
        <w:rPr>
          <w:i/>
          <w:color w:val="4A148C"/>
          <w:sz w:val="18"/>
        </w:rPr>
        <w:t>doi:10.1016/s1474-4422(13)70090-5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Fitzpatrick, A. W. P.; Falcon, B.; He, S.; Murzin, A. G.; Murshudov, G.; Garringer, H. J.; Crowther, R. A.; Ghetti, B.; Goedert, M.; Scheres, S. H. W. Cryo-EM structures of tau filaments from Alzheimer’s disease. Nature 2017, 547 (7662), 185-190. </w:t>
      </w:r>
      <w:r>
        <w:rPr>
          <w:i/>
          <w:color w:val="4A148C"/>
          <w:sz w:val="18"/>
        </w:rPr>
        <w:t>doi:10.1038/nature23002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Falcon, B.; Zhang, W.; Murzin, A. G.; Murshudov, G.; Garringer, H. J.; Vidal, R.; Crowther, R. A.; Ghetti, B.; Scheres, S. H. W.; Goedert, M. Structures of filaments from Pick’s disease reveal a novel tau protein fold. Nature 2018, 561 (7721), 137-140. </w:t>
      </w:r>
      <w:r>
        <w:rPr>
          <w:i/>
          <w:color w:val="4A148C"/>
          <w:sz w:val="18"/>
        </w:rPr>
        <w:t>doi:10.1038/s41586-018-0454-y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Zhang, W.; Tarutani, A.; Newell, K. L.; Murzin, A. G.; Matsubara, T.; Falcon, B.; Vidal, R.; Garringer, H. J.; Shi, Y.; Ikeuchi, T.; et al. Novel tau filament fold in corticobasal degeneration. Nature 2020, 580 (7802), 283-287. </w:t>
      </w:r>
      <w:r>
        <w:rPr>
          <w:i/>
          <w:color w:val="4A148C"/>
          <w:sz w:val="18"/>
        </w:rPr>
        <w:t>doi:10.1038/s41586-020-2043-0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Shi, Y.; Zhang, W.; Yang, Y.; Murzin, A. G.; Falcon, B.; Kotecha, A.; van Beers, M.; Tarutani, A.; Kametani, F.; Garringer, H. J.; et al. Structure-based classification of tauopathies. Nature 2021, 598 (7880), 359-363. </w:t>
      </w:r>
      <w:r>
        <w:rPr>
          <w:i/>
          <w:color w:val="4A148C"/>
          <w:sz w:val="18"/>
        </w:rPr>
        <w:t>doi:10.1038/s41586-021-03911-7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Wischik, C. M.; Edwards, P. C.; Lai, R. Y.; Roth, M.; Harrington, C. R. Selective inhibition of Alzheimer disease-like tau aggregation by phenothiazines. Proceedings of the National Academy of Sciences 1996, 93 (20), 11213-11218. </w:t>
      </w:r>
      <w:r>
        <w:rPr>
          <w:i/>
          <w:color w:val="4A148C"/>
          <w:sz w:val="18"/>
        </w:rPr>
        <w:t>doi:10.1073/pnas.93.20.11213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Baddeley, T. C.; McCaffrey, J.; M. D. Storey, J.; Cheung, J. K.; Melis, V.; Horsley, D.; Harrington, C. R.; Wischik, C. M. Complex Disposition of Methylthioninium Redox Forms Determines Efficacy in Tau Aggregation Inhibitor Therapy for Alzheimer’s Disease. The Journal of Pharmacology and Experimental Therapeutics 2015, 352 (1), 110-118. </w:t>
      </w:r>
      <w:r>
        <w:rPr>
          <w:i/>
          <w:color w:val="4A148C"/>
          <w:sz w:val="18"/>
        </w:rPr>
        <w:t>doi:10.1124/jpet.114.219352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Gygax, D.; Schibli, R.; Ametamey, S. M. Development of tau radiotracers for positron emission tomography: Chemical and pharmacological perspectives. J. Med. Chem. 2020, 63 (14), 7439–7458. 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Bieschke, J.; Russ, J.; Friedrich, R. P.; Ehrnhoefer, D. E.; Wobst, H.; Neugebauer, K.; Wanker, E. E. EGCG remodels mature α-synuclein and amyloid-β fibrils and reduces cellular toxicity. Proceedings of the National Academy of Sciences 2010, 107 (17), 7710-7715. </w:t>
      </w:r>
      <w:r>
        <w:rPr>
          <w:i/>
          <w:color w:val="4A148C"/>
          <w:sz w:val="18"/>
        </w:rPr>
        <w:t>doi:10.1073/pnas.0910723107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Rane, J. S.; Bhaumik, P.; Panda, D. Curcumin Inhibits Tau Aggregation and Disintegrates Preformed Tau Filaments in vitro. Journal of Alzheimer's Disease 2017, 60 (3), 999-1014. </w:t>
      </w:r>
      <w:r>
        <w:rPr>
          <w:i/>
          <w:color w:val="4A148C"/>
          <w:sz w:val="18"/>
        </w:rPr>
        <w:t>doi:10.3233/jad-170351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Wagner, J.; Ryazanov, S.; Leonov, A.; Levin, J.; Shi, S.; Schmidt, F.; Prix, C.; Pan-Montojo, F.; Bertsch, U.; Mitteregger-Kretzschmar, G.; et al. Anle138b: a novel oligomer modulator for disease-modifying therapy of neurodegenerative diseases such as prion and Parkinson’s disease. Acta Neuropathologica 2013, 125 (6), 795-813. </w:t>
      </w:r>
      <w:r>
        <w:rPr>
          <w:i/>
          <w:color w:val="4A148C"/>
          <w:sz w:val="18"/>
        </w:rPr>
        <w:t>doi:10.1007/s00401-013-1114-9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Serpell, L. C. Alzheimer’s amyloid fibrils: structure and assembly. Biochimica et Biophysica Acta (BBA) - Molecular Basis of Disease 2000, 1502 (1), 16-30. </w:t>
      </w:r>
      <w:r>
        <w:rPr>
          <w:i/>
          <w:color w:val="4A148C"/>
          <w:sz w:val="18"/>
        </w:rPr>
        <w:t>doi:10.1016/s0925-4439(00)00029-6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Congdon, E. E.; Sigurdsson, E. M. Tau-targeting therapies for Alzheimer disease. Nature Reviews Neurology 2018, 14 (7), 399-415. </w:t>
      </w:r>
      <w:r>
        <w:rPr>
          <w:i/>
          <w:color w:val="4A148C"/>
          <w:sz w:val="18"/>
        </w:rPr>
        <w:t>doi:10.1038/s41582-018-0013-z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Seidler, P. M.; Boyer, D. R.; Rodriguez, J. A.; Sawaya, M. R.; Cascio, D.; Murray, K.; Gonen, T.; Eisenberg, D. S. Structure-based inhibitors of tau aggregation. Nature Chemistry 2017, 10 (2), 170-176. </w:t>
      </w:r>
      <w:r>
        <w:rPr>
          <w:i/>
          <w:color w:val="4A148C"/>
          <w:sz w:val="18"/>
        </w:rPr>
        <w:t>doi:10.1038/nchem.2889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Bouter, C.; Henniges, P.; Franke, T. N.; Irwin, C.; Sahlmann, C. O.; Sichler, M. E.; Beindorff, N.; Bayer, T. A.; Bouter, Y. 18F-FDG-PET Detects Drastic Changes in Brain Metabolism in the Tg4–42 Model of Alzheimer’s Disease. Frontiers in Aging Neuroscience 2019, 10. </w:t>
      </w:r>
      <w:r>
        <w:rPr>
          <w:i/>
          <w:color w:val="4A148C"/>
          <w:sz w:val="18"/>
        </w:rPr>
        <w:t>doi:10.3389/fnagi.2018.00425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Mannix, A. J.; Zhou, X. F.; Kiraly, B.; Wood, J. D.; Alducin, D.; Myers, B. D.; Liu, X.; Fisher, B. L.; Santiago, U.; Guest, J. R.; et al. Synthesis of borophenes: Anisotropic, two-dimensional boron polymorphs. Science 2015, 350 (6267), 1513-1516. </w:t>
      </w:r>
      <w:r>
        <w:rPr>
          <w:i/>
          <w:color w:val="4A148C"/>
          <w:sz w:val="18"/>
        </w:rPr>
        <w:t>doi:10.1126/science.aad1080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Feng, B.; Zhang, J.; Zhong, Q.; Li, W.; Li, S.; Li, H.; Cheng, P.; Meng, S.; Chen, L.; Wu, K. Experimental realization of two-dimensional boron sheets. Nature Chemistry 2016, 8 (6), 563-568. </w:t>
      </w:r>
      <w:r>
        <w:rPr>
          <w:i/>
          <w:color w:val="4A148C"/>
          <w:sz w:val="18"/>
        </w:rPr>
        <w:t>doi:10.1038/nchem.2491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Zhang, Z.; Penev, E. S.; Yakobson, B. I. Two-dimensional boron: structures, properties and applications. Chemical Society Reviews 2017, 46 (22), 6746-6763. </w:t>
      </w:r>
      <w:r>
        <w:rPr>
          <w:i/>
          <w:color w:val="4A148C"/>
          <w:sz w:val="18"/>
        </w:rPr>
        <w:t>doi:10.1039/c7cs00261k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4A148C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Grimme, S.; Bannwarth, C.; Shushkov, P. A Robust and Accurate Tight-Binding Quantum Chemical Method for Structures, Vibrational Frequencies, and Noncovalent Interactions of Large Molecular Systems Parametrized for All spd-Block Elements ( Z = 1–86). Journal of Chemical Theory and Computation 2017, 13 (5), 1989-2009. </w:t>
      </w:r>
      <w:r>
        <w:rPr>
          <w:i/>
          <w:color w:val="4A148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4A148C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Neese, F. Software update: The ORCA program system—Version 5.0. WIREs Computational Molecular Science 2022, 12 (5). </w:t>
      </w:r>
      <w:r>
        <w:rPr>
          <w:i/>
          <w:color w:val="4A148C"/>
          <w:sz w:val="18"/>
        </w:rPr>
        <w:t>doi:10.1002/wcms.1606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Becke, A. D. Density-functional thermochemistry. III. The role of exact exchange. The Journal of Chemical Physics 1993, 98 (7), 5648-5652. </w:t>
      </w:r>
      <w:r>
        <w:rPr>
          <w:i/>
          <w:color w:val="4A148C"/>
          <w:sz w:val="18"/>
        </w:rPr>
        <w:t>doi:10.1063/1.464913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Grimme, S.; Ehrlich, S.; Goerigk, L. Effect of the damping function in dispersion corrected density functional theory. Journal of Computational Chemistry 2011, 32 (7), 1456-1465. </w:t>
      </w:r>
      <w:r>
        <w:rPr>
          <w:i/>
          <w:color w:val="4A148C"/>
          <w:sz w:val="18"/>
        </w:rPr>
        <w:t>doi:10.1002/jcc.21759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Weigend, F.; Ahlrichs, R. Balanced basis sets of split valence, triple zeta valence and quadruple zeta valence quality for H to Rn: Design and assessment of accuracy. Physical Chemistry Chemical Physics 2005, 7 (18), 3297. </w:t>
      </w:r>
      <w:r>
        <w:rPr>
          <w:i/>
          <w:color w:val="4A148C"/>
          <w:sz w:val="18"/>
        </w:rPr>
        <w:t>doi:10.1039/b508541a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4A148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4A148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4A148C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4A148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4A148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4A148C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4A148C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Lundberg, S. M.; Lee, S.-I. A unified approach to interpreting model predictions. In Advances in Neural Information Processing Systems 30; Guyon, I. et al., Eds.; Curran Associates, Inc., 2017; pp 4765–4774. 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4A148C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4A148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4A148C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4A148C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4A148C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4A148C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4A148C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