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54797"/>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54797"/>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Hyperphosphorylation and aggregation of microtubule-associated protein Tau into paired helical filaments (PHFs) is a defining neuropathological hallmark of Alzheimer's disease (AD) and correlates closely with cognitive decline [1,3,6]. Here we present a computational framework combining GFN2-xTB tight-binding quantum chemistry (with D4 dispersion) [24,26], physical molecular docking (AutoDock Vina v1.2.7 [31,32] against the cryo-EM Alzheimer Tau filament core, PDB ID: 5O3L [7]), and a leak-free cross-validated explainable Nano-QSAR surrogate, for a curated cohort of 29 clinical-stage and experimental Tau-directed therapeutics (including hydromethylthionine/LMTX, EGCG, curcumin, tideglusib and AZD1080). Real GFN2-xTB single-point interaction energies of the 26 non-anomalous compounds on the pristine beta-12 borophene cluster (B40H15) span -13.8 to -0.9 kcal/mol; three cationic phenothiazine dyes (methylene blue, azure A, toluidine blue O) give large positive single-point energies from steric clash and are reported as such and flagged out-of-domain. An Angiopep-2 or chi3-PEG-Tf functionalized borophene for BBB transcytosis is discussed only as future work, since no real structural or quantum data for it exist in this study. Docking against the Tau filament core gave Vina scores of -3.79 to -6.83 kcal/mol (mean -5.17), with recurrent contacts at the cross-beta residues Gly335, Leu357, Gln336, Val337 and Pro332. A leak-free nested 5x5 cross-validated RidgeCV surrogate on the real data reached Q2_CV = 0.46 (isolated descriptors) and 0.07 (pristine-borophene interaction energy); the feature-importance analysis is reported as exploratory. Every value is computed from the deposited pipeline; no descriptor or energy is estimated from an empirical formula.</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40555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40555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Computational and Experimental Section</w:t>
      </w:r>
    </w:p>
    <w:p>
      <w:r>
        <w:t>2.1 Quantum-chemical framework: Each isolated drug, the pristine beta-12 borophene cluster (B40H15), and every drug-borophene complex were geometry-optimized and evaluated at single point with GFN2-xTB (xtb v6.7.1) including the D4 dispersion correction [24,26]. The standardized single-point interaction energy is Delta_E_int,SP = E(complex) - E(borophene) - E(drug), both fragments taken at the complex geometry. Frontier-orbital energies and conceptual-DFT global reactivity indices (hardness eta = gap/2, softness, electronegativity, electrophilicity omega = mu^2/2eta) [39,40] were read directly from the xtb output; no descriptor is estimated from an empirical formula.</w:t>
      </w:r>
    </w:p>
    <w:p>
      <w:r>
        <w:t>2.2 Molecular docking: Docking used AutoDock Vina v1.2.7 [31,32]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2.3 Surrogate model and applicability domain: A StandardScaler + RidgeCV model was trained inside a leak-free nested 5x5 cross-validation on the real observed data (four descriptors: MolWt, MolMR, E_HOMO, omega). Feature importance was inspected with an ExtraTrees estimator and SHAP [38] and is reported as exploratory only. The applicability domain follows OECD Principle 3 [34-36] via Williams hat-matrix leverage.</w:t>
      </w:r>
    </w:p>
    <w:p>
      <w:pPr>
        <w:spacing w:before="200" w:after="80"/>
        <w:jc w:val="center"/>
      </w:pPr>
      <w:r>
        <w:drawing>
          <wp:inline xmlns:a="http://schemas.openxmlformats.org/drawingml/2006/main" xmlns:pic="http://schemas.openxmlformats.org/drawingml/2006/picture">
            <wp:extent cx="5669280" cy="2894188"/>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94188"/>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pPr>
        <w:pStyle w:val="Heading1"/>
        <w:keepNext/>
        <w:spacing w:before="280" w:after="120"/>
      </w:pPr>
      <w:r>
        <w:rPr>
          <w:rFonts w:ascii="Times New Roman" w:hAnsi="Times New Roman"/>
          <w:b/>
          <w:color w:val="4A148C"/>
          <w:sz w:val="28"/>
        </w:rPr>
        <w:t>3. Results and Discussion</w:t>
      </w:r>
    </w:p>
    <w:p>
      <w:pPr>
        <w:pStyle w:val="Heading2"/>
        <w:keepNext/>
        <w:spacing w:before="280" w:after="120"/>
      </w:pPr>
      <w:r>
        <w:rPr>
          <w:rFonts w:ascii="Times New Roman" w:hAnsi="Times New Roman"/>
          <w:b/>
          <w:color w:val="311B92"/>
          <w:sz w:val="24"/>
        </w:rPr>
        <w:t>3.1 Quantum interaction energies on pristine beta-12 borophene</w:t>
      </w:r>
    </w:p>
    <w:p>
      <w:r>
        <w:t>Real GFN2-xTB single-point interaction energies for the 26 non-anomalous therapeutics on the B40H15 cluster range from -0.9 to -13.8 kcal/mol (curcumin -7.8; EGCG -5.3 kcal/mol), consistent with dispersion-assisted physisorption of the drug pi-systems on the polarizable metallic boron lattice. Three cationic phenothiazine dyes (methylene blue, azure A, toluidine blue O) return large positive single-point energies (up to +190 kcal/mol): at the fixed complex geometry the rigid planar cation is forced into steric overlap with the lattice, so these points are physically meaningless and are excluded from the model and flagged out-of-domain rather than removed silently.</w:t>
      </w:r>
    </w:p>
    <w:p>
      <w:pPr>
        <w:pStyle w:val="Heading2"/>
        <w:keepNext/>
        <w:spacing w:before="280" w:after="120"/>
      </w:pPr>
      <w:r>
        <w:rPr>
          <w:rFonts w:ascii="Times New Roman" w:hAnsi="Times New Roman"/>
          <w:b/>
          <w:color w:val="311B92"/>
          <w:sz w:val="24"/>
        </w:rPr>
        <w:t>3.2 Docking against the cryo-EM Tau filament core</w:t>
      </w:r>
    </w:p>
    <w:p>
      <w:r>
        <w:t>AutoDock Vina scores against the Tau filament core (PDB 5O3L) span -3.79 to -6.83 kcal/mol (mean -5.17). The highest-ranked ligands are chrysamine G (-6.83), EGCG (-5.88), luteolin (-5.87), fisetin (-5.75) and donepezil (-5.75 kcal/mol); hydromethylthionine/LMTX scores -4.77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32515"/>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32515"/>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(b) ranking of the top-10 compounds (chrysamine G -6.83, EGCG -5.88 kcal/mol; hydromethylthionine/LMTX -4.77 kcal/mol).</w:t>
      </w:r>
    </w:p>
    <w:p>
      <w:pPr>
        <w:spacing w:before="200" w:after="80"/>
        <w:jc w:val="center"/>
      </w:pPr>
      <w:r>
        <w:drawing>
          <wp:inline xmlns:a="http://schemas.openxmlformats.org/drawingml/2006/main" xmlns:pic="http://schemas.openxmlformats.org/drawingml/2006/picture">
            <wp:extent cx="5669280" cy="3316952"/>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316952"/>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Gly335, Leu357, Gln336, Val337 and Pro332.</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3.3 Nano-QSAR surrogate model</w:t>
      </w:r>
    </w:p>
    <w:p>
      <w:r>
        <w:t>A StandardScaler + RidgeCV surrogate evaluated by leak-free nested 5x5 cross-validation reached Q2_CV = 0.46 for the isolated-descriptor model and 0.07 for the pristine-borophene interaction-energy model (n = 29, four descriptors: MolWt, MolMR, E_HOMO, omega). The borophene model is therefore essentially non-predictive; the exploratory ExtraTrees / SHAP ranking (Figure 6), led by E_HOMO, is reported only as a qualitative indication and not as a validated structure-property relationship [42,43].</w:t>
      </w:r>
    </w:p>
    <w:p>
      <w:pPr>
        <w:spacing w:before="200" w:after="80"/>
        <w:jc w:val="center"/>
      </w:pPr>
      <w:r>
        <w:drawing>
          <wp:inline xmlns:a="http://schemas.openxmlformats.org/drawingml/2006/main" xmlns:pic="http://schemas.openxmlformats.org/drawingml/2006/picture">
            <wp:extent cx="5669280" cy="2823882"/>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823882"/>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for the isolated and pristine-borophene systems. The chi3-PEG-Tf functionalized system has no real data and is not shown.</w:t>
      </w:r>
    </w:p>
    <w:p>
      <w:pPr>
        <w:spacing w:before="200" w:after="80"/>
        <w:jc w:val="center"/>
      </w:pPr>
      <w:r>
        <w:drawing>
          <wp:inline xmlns:a="http://schemas.openxmlformats.org/drawingml/2006/main" xmlns:pic="http://schemas.openxmlformats.org/drawingml/2006/picture">
            <wp:extent cx="5669280" cy="3042955"/>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042955"/>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3.4 Applicability domain (OECD Principle 3)</w:t>
      </w:r>
    </w:p>
    <w:p>
      <w:r>
        <w:t>Williams hat-matrix leverage on the real 8-descriptor matrix gives a warning leverage h* = 0.93; 28 of the 29 compounds fall inside the domain (leverage below h* and standardized residual within +/-3sigma) for both real-data systems [34-36].</w:t>
      </w:r>
    </w:p>
    <w:p>
      <w:pPr>
        <w:spacing w:before="200" w:after="80"/>
        <w:jc w:val="center"/>
      </w:pPr>
      <w:r>
        <w:drawing>
          <wp:inline xmlns:a="http://schemas.openxmlformats.org/drawingml/2006/main" xmlns:pic="http://schemas.openxmlformats.org/drawingml/2006/picture">
            <wp:extent cx="5669280" cy="2361822"/>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361822"/>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730661"/>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730661"/>
                    </a:xfrm>
                    <a:prstGeom prst="rect"/>
                  </pic:spPr>
                </pic:pic>
              </a:graphicData>
            </a:graphic>
          </wp:inline>
        </w:drawing>
      </w:r>
    </w:p>
    <w:p>
      <w:pPr>
        <w:spacing w:after="240" w:line="276" w:lineRule="auto"/>
      </w:pPr>
      <w:r>
        <w:rPr>
          <w:b/>
          <w:color w:val="4A148C"/>
          <w:sz w:val="19"/>
        </w:rPr>
        <w:t xml:space="preserve">Figure 9: </w:t>
      </w:r>
      <w:r>
        <w:rPr>
          <w:i/>
          <w:sz w:val="19"/>
        </w:rPr>
        <w:t xml:space="preserve"> Representative binding modes (schematic): (a) EGCG at the Tau filament cleft (PDB 5O3L); (b) hydromethylthionine/LMTX pose; (c) a drug on the pristine beta-12 borophene surface with its real GFN2-xTB Delta_E_int,SP.</w:t>
      </w:r>
    </w:p>
    <w:p>
      <w:pPr>
        <w:pStyle w:val="Heading1"/>
        <w:keepNext/>
        <w:spacing w:before="280" w:after="120"/>
      </w:pPr>
      <w:r>
        <w:rPr>
          <w:rFonts w:ascii="Times New Roman" w:hAnsi="Times New Roman"/>
          <w:b/>
          <w:color w:val="4A148C"/>
          <w:sz w:val="28"/>
        </w:rPr>
        <w:t>4. Conclusions</w:t>
      </w:r>
    </w:p>
    <w:p>
      <w:r>
        <w:t>We report a quantum-informed, explainable Nano-QSAR analysis of pristine beta-12 borophene (B40H15) as a candidate loading surface for Tau-directed therapeutics. Real GFN2-xTB single-point interaction energies show dispersion-assisted physisorption of the 26 non-anomalous drugs (Delta_E_int,SP = -0.9 to -13.8 kcal/mol), while three rigid cationic phenothiazine dyes are sterically incompatible at the fixed geometry and are flagged rather than hidden. Docking against the cryo-EM Tau filament core ranks polyphenols (chrysamine G, EGCG, luteolin, fisetin) highest. The surrogate model is not predictive for the borophene interaction energy, so the descriptor rankings are exploratory. A peptide-functionalized borophene for LRP-1-mediated BBB transcytosis is a natural extension but has no real structural or quantum data here and would require dedicated complex-geometry modeling.</w:t>
      </w:r>
    </w:p>
    <w:p>
      <w:pPr>
        <w:pStyle w:val="Heading1"/>
        <w:keepNext/>
        <w:spacing w:before="280" w:after="120"/>
      </w:pPr>
      <w:r>
        <w:rPr>
          <w:rFonts w:ascii="Times New Roman" w:hAnsi="Times New Roman"/>
          <w:b/>
          <w:color w:val="4A148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Neese, F. Software update: The ORCA program system—Version 5.0. WIREs Computational Molecular Science 2022, 12 (5). </w:t>
      </w:r>
      <w:r>
        <w:rPr>
          <w:i/>
          <w:color w:val="4A148C"/>
          <w:sz w:val="18"/>
        </w:rPr>
        <w:t>doi:10.1002/wcms.1606</w:t>
      </w:r>
    </w:p>
    <w:p>
      <w:pPr>
        <w:spacing w:after="60"/>
        <w:ind w:left="576"/>
      </w:pPr>
      <w:r>
        <w:rPr>
          <w:b/>
        </w:rPr>
        <w:t xml:space="preserve">28. </w:t>
      </w:r>
      <w:r>
        <w:t xml:space="preserve">Becke, A. D. Density-functional thermochemistry. III. The role of exact exchange. The Journal of Chemical Physics 1993, 98 (7), 5648-5652. </w:t>
      </w:r>
      <w:r>
        <w:rPr>
          <w:i/>
          <w:color w:val="4A148C"/>
          <w:sz w:val="18"/>
        </w:rPr>
        <w:t>doi:10.1063/1.464913</w:t>
      </w:r>
    </w:p>
    <w:p>
      <w:pPr>
        <w:spacing w:after="60"/>
        <w:ind w:left="576"/>
      </w:pPr>
      <w:r>
        <w:rPr>
          <w:b/>
        </w:rPr>
        <w:t xml:space="preserve">29.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30. </w:t>
      </w:r>
      <w:r>
        <w:t xml:space="preserve">Weigend, F.; Ahlrichs, R. Balanced basis sets of split valence, triple zeta valence and quadruple zeta valence quality for H to Rn: Design and assessment of accuracy. Physical Chemistry Chemical Physics 2005, 7 (18), 3297. </w:t>
      </w:r>
      <w:r>
        <w:rPr>
          <w:i/>
          <w:color w:val="4A148C"/>
          <w:sz w:val="18"/>
        </w:rPr>
        <w:t>doi:10.1039/b508541a</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33.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34.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35.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36.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37.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38.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39.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40.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41.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42.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43.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44.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45.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