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Docking into the ligand-free fibril does not reproduce the tracer pose (root-mean-square deviation 6.7 and 6.3 Å); the docking scores are therefore exploratory. An unconstrained finite borophene flake collapses into a compact boron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quantitative structure–property relationship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(Online Resource 1,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every adsorption complex it contracted into a more compact boron cluster, lowering its own energy by up to 110.7 kcal mol</w:t>
      </w:r>
      <w:r>
        <w:rPr>
          <w:vertAlign w:val="superscript"/>
        </w:rPr>
        <w:t>−1</w:t>
      </w:r>
      <w:r>
        <w:rPr/>
        <w:t xml:space="preserve"> (Table S2), so that the computed binding energies were dominated by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Table S4).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Table S5).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3014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3014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8459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84599"/>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88431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884310"/>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which bind a metallic sheet through electrostatic polarisation in addition to dispersion;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much weaker, so the gap between cationic and neutral drugs is an upper bound.</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7084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70849"/>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70558"/>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70558"/>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S6.</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is carried by the extended, planar dyes, which fit the elongated cleft and stack on the sheet, and by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3 of 1,000 permuted targets gave a </w:t>
      </w:r>
      <w:r>
        <w:rPr>
          <w:i/>
        </w:rPr>
        <w:t>Q</w:t>
      </w:r>
      <w:r>
        <w:rPr>
          <w:vertAlign w:val="superscript"/>
        </w:rPr>
        <w:t>2</w:t>
      </w:r>
      <w:r>
        <w:rPr>
          <w:vertAlign w:val="subscript"/>
        </w:rPr>
        <w:t>CV</w:t>
      </w:r>
      <w:r>
        <w:rPr/>
        <w:t xml:space="preserve"> as high (</w:t>
      </w:r>
      <w:r>
        <w:rPr>
          <w:i/>
        </w:rPr>
        <w:t>p</w:t>
      </w:r>
      <w:r>
        <w:rPr/>
        <w:t xml:space="preserve"> = 0.004),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143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14300"/>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collapses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Seidler PM, Boyer DR, Rodriguez JA, Sawaya MR, Cascio D, Murray K, Gonen T, Eisenberg DS (2018) Structure-based inhibitors of tau aggregation. Nat Chem 10:170–176. https://doi.org/10.1038/nchem.2889</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