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Tau-directed drugs on β</w:t>
      </w:r>
      <w:r>
        <w:rPr>
          <w:sz w:val="22"/>
          <w:vertAlign w:val="subscript"/>
        </w:rPr>
        <w:t>12</w:t>
      </w:r>
      <w:r>
        <w:rPr>
          <w:sz w:val="22"/>
        </w:rPr>
        <w:t xml:space="preserve"> borophene: docking at the GTP-1 site of Alzheimer paired helical filaments and GFN2-xTB adsorption on a substrate-supported sheet</w:t>
      </w:r>
    </w:p>
    <w:p>
      <w:pPr>
        <w:spacing w:after="80"/>
        <w:jc w:val="left"/>
      </w:pPr>
      <w:r>
        <w:rPr>
          <w:i/>
          <w:sz w:val="20"/>
        </w:rPr>
        <w:t>Journal of Molecular Modeling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Compounds. Structures from PubChem, identity checked by InChIKey; counter-ions removed, acids and bases neutralised where a neutral form exists.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2078"/>
        <w:gridCol w:w="3212"/>
        <w:gridCol w:w="1322"/>
        <w:gridCol w:w="1606"/>
        <w:gridCol w:w="850"/>
      </w:tblGrid>
      <w:tr>
        <w:tc>
          <w:tcPr>
            <w:tcW w:type="dxa" w:w="207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Compound</w:t>
            </w:r>
          </w:p>
        </w:tc>
        <w:tc>
          <w:tcPr>
            <w:tcW w:type="dxa" w:w="321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132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PubChem CID</w:t>
            </w:r>
          </w:p>
        </w:tc>
        <w:tc>
          <w:tcPr>
            <w:tcW w:type="dxa" w:w="160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Formula</w:t>
            </w:r>
          </w:p>
        </w:tc>
        <w:tc>
          <w:tcPr>
            <w:tcW w:type="dxa" w:w="85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Charge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Methylene Blue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6099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C16H18N3S+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Hydromethylthionine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164695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C16H19N3S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Azure A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13735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C14H14N3S+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Toluidine Blue O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7084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C15H16N3S+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Thioflavin-T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16953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C17H19N2S+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Thioflavin-S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excluded (mixture)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155884413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C25H25N3O3S3+2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Congo Red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11313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C32H24N6O6S2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Chrysamine G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160843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C26H18N4O6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FDDNP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Dyes and imaging probes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24858429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C18H16FN3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Curcumin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969516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C21H20O6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EGCG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65064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C22H18O11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Resveratrol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445154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C14H12O3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Quercetin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5280343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C15H10O7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Myricetin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5281672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C15H10O8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Baicalein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5281605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C15H10O5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Rosmarinic Acid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5281792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C18H16O8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Fisetin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5281614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Apigenin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5280443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C15H10O5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Luteolin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5280445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C15H10O6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Honokiol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Polyphenols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72303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C18H18O2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Anle138b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44608289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C16H11BrN2O2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Tideglusib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11313622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C19H14N2O2S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AZD1080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135564570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C19H18N4O2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Bexarotene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Aggregation / kinase modulators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82146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C24H28O2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Donepezil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3152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C24H29NO3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Rivastigmine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77991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C14H22N2O2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Galantamine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9651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C17H21NO3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Memantine</w:t>
            </w:r>
          </w:p>
        </w:tc>
        <w:tc>
          <w:tcPr>
            <w:tcW w:type="dxa" w:w="32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4054</w:t>
            </w:r>
          </w:p>
        </w:tc>
        <w:tc>
          <w:tcPr>
            <w:tcW w:type="dxa" w:w="160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C12H21N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07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Tacrine</w:t>
            </w:r>
          </w:p>
        </w:tc>
        <w:tc>
          <w:tcPr>
            <w:tcW w:type="dxa" w:w="321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Symptomatic AD drugs</w:t>
            </w:r>
          </w:p>
        </w:tc>
        <w:tc>
          <w:tcPr>
            <w:tcW w:type="dxa" w:w="132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1935</w:t>
            </w:r>
          </w:p>
        </w:tc>
        <w:tc>
          <w:tcPr>
            <w:tcW w:type="dxa" w:w="160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C13H14N2</w:t>
            </w:r>
          </w:p>
        </w:tc>
        <w:tc>
          <w:tcPr>
            <w:tcW w:type="dxa" w:w="85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First carrier model (unconstrained B</w:t>
      </w:r>
      <w:r>
        <w:rPr>
          <w:sz w:val="20"/>
          <w:vertAlign w:val="subscript"/>
        </w:rPr>
        <w:t>40</w:t>
      </w:r>
      <w:r>
        <w:rPr>
          <w:sz w:val="20"/>
        </w:rPr>
        <w:t>H</w:t>
      </w:r>
      <w:r>
        <w:rPr>
          <w:sz w:val="20"/>
          <w:vertAlign w:val="subscript"/>
        </w:rPr>
        <w:t>15</w:t>
      </w:r>
      <w:r>
        <w:rPr>
          <w:sz w:val="20"/>
        </w:rPr>
        <w:t xml:space="preserve"> flake): energy of the carrier fragment in each adsorption complex relative to the isolated relaxed flake. Negative values mean the flake reconstructed into a lower-energy structure during adsorption; this model was therefore replaced by the supported sheet.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329" w:type="dxa"/>
      </w:tblPr>
      <w:tblGrid>
        <w:gridCol w:w="2494"/>
        <w:gridCol w:w="2834"/>
      </w:tblGrid>
      <w:tr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Drug</w:t>
            </w:r>
          </w:p>
        </w:tc>
        <w:tc>
          <w:tcPr>
            <w:tcW w:type="dxa" w:w="28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Δ</w:t>
            </w:r>
            <w:r>
              <w:rPr>
                <w:b/>
                <w:i/>
                <w:sz w:val="16"/>
              </w:rPr>
              <w:t>E</w:t>
            </w:r>
            <w:r>
              <w:rPr>
                <w:b/>
                <w:sz w:val="16"/>
                <w:vertAlign w:val="subscript"/>
              </w:rPr>
              <w:t>carrier</w:t>
            </w:r>
            <w:r>
              <w:rPr>
                <w:b/>
                <w:sz w:val="16"/>
              </w:rPr>
              <w:t xml:space="preserve">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Galantamine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−110.7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Memantine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−67.7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Rivastigmine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−67.5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AZD1080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−65.4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Anle138b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−54.9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Honokiol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−54.8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Congo Red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−50.0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FDDNP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−49.4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Hydromethylthionine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−48.2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EGCG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−46.5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Thioflavin-T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−36.9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Curcumin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Chrysamine G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−34.3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Methylene Blue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−34.2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Tideglusib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−26.8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Tacrine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−12.1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Rosmarinic Acid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−3.8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Bexarotene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Donepezil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Fisetin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Myricetin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1.6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Azure A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6.2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Resveratrol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14.5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Toluidine Blue O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15.5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Apigenin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31.5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Baicalein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31.8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Luteolin</w:t>
            </w:r>
          </w:p>
        </w:tc>
        <w:tc>
          <w:tcPr>
            <w:tcW w:type="dxa" w:w="28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31.9</w:t>
            </w:r>
          </w:p>
        </w:tc>
      </w:tr>
      <w:tr>
        <w:tc>
          <w:tcPr>
            <w:tcW w:type="dxa" w:w="249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Quercetin</w:t>
            </w:r>
          </w:p>
        </w:tc>
        <w:tc>
          <w:tcPr>
            <w:tcW w:type="dxa" w:w="28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32.1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GFN2-xTB single-point energies of the planar B</w:t>
      </w:r>
      <w:r>
        <w:rPr>
          <w:sz w:val="20"/>
          <w:vertAlign w:val="subscript"/>
        </w:rPr>
        <w:t>44</w:t>
      </w:r>
      <w:r>
        <w:rPr>
          <w:sz w:val="20"/>
        </w:rPr>
        <w:t>H</w:t>
      </w:r>
      <w:r>
        <w:rPr>
          <w:sz w:val="20"/>
          <w:vertAlign w:val="subscript"/>
        </w:rPr>
        <w:t>16</w:t>
      </w:r>
      <w:r>
        <w:rPr>
          <w:sz w:val="20"/>
        </w:rPr>
        <w:t xml:space="preserve"> flake with the boron lattice scaled uniformly (hydrogens moved with their boron), relative to the lowest value.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215" w:type="dxa"/>
      </w:tblPr>
      <w:tblGrid>
        <w:gridCol w:w="907"/>
        <w:gridCol w:w="1133"/>
        <w:gridCol w:w="1133"/>
        <w:gridCol w:w="2040"/>
      </w:tblGrid>
      <w:tr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Scale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BB</w:t>
            </w:r>
            <w:r>
              <w:rPr>
                <w:b/>
                <w:sz w:val="18"/>
              </w:rPr>
              <w:t xml:space="preserve"> (Å)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Δ</w:t>
            </w:r>
            <w:r>
              <w:rPr>
                <w:b/>
                <w:i/>
                <w:sz w:val="18"/>
              </w:rPr>
              <w:t>E</w:t>
            </w:r>
            <w:r>
              <w:rPr>
                <w:b/>
                <w:sz w:val="18"/>
              </w:rPr>
              <w:t xml:space="preserve">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1.521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511.1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1.521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513.7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92.0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0.95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94.2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1.690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2.1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1.774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102.0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1.05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1.774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104.5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1.10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1.859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singlet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325.4</w:t>
            </w:r>
          </w:p>
        </w:tc>
      </w:tr>
      <w:tr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1.10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1.859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triplet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328.0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>Re-relaxation of the restrained carrier taken from each physisorbed complex (drug removed); energy relative to the lowest, which is the reference for Δ</w:t>
      </w:r>
      <w:r>
        <w:rPr>
          <w:i/>
          <w:sz w:val="20"/>
        </w:rPr>
        <w:t>E</w:t>
      </w:r>
      <w:r>
        <w:rPr>
          <w:sz w:val="20"/>
          <w:vertAlign w:val="subscript"/>
        </w:rPr>
        <w:t>ads</w:t>
      </w:r>
      <w:r>
        <w:rPr>
          <w:sz w:val="20"/>
        </w:rPr>
        <w:t>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5215" w:type="dxa"/>
      </w:tblPr>
      <w:tblGrid>
        <w:gridCol w:w="3174"/>
        <w:gridCol w:w="2040"/>
      </w:tblGrid>
      <w:tr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Carrier from complex with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Δ</w:t>
            </w:r>
            <w:r>
              <w:rPr>
                <w:b/>
                <w:i/>
                <w:sz w:val="16"/>
              </w:rPr>
              <w:t>E</w:t>
            </w:r>
            <w:r>
              <w:rPr>
                <w:b/>
                <w:sz w:val="16"/>
              </w:rPr>
              <w:t xml:space="preserve">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FDDNP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Quercetin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Myricetin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0.06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Azure 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Thioflavin-T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Fisetin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1.18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Rivastigmine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Anle138b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Toluidine Blue O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Rosmarinic Acid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1.24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Baicalein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1.27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Apigenin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1.29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Honokiol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Memantine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Galantamine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1.31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Hydromethylthionine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Bexarotene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Luteolin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Curcumin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1.36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EGCG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1.37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Resveratrol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1.38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AZD1080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1.40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Methylene Blue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2.93</w:t>
            </w:r>
          </w:p>
        </w:tc>
      </w:tr>
      <w:tr>
        <w:tc>
          <w:tcPr>
            <w:tcW w:type="dxa" w:w="3175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Tacrine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3.03</w:t>
            </w:r>
          </w:p>
        </w:tc>
      </w:tr>
      <w:tr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Donepezil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3.12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S5</w:t>
      </w:r>
      <w:r>
        <w:rPr>
          <w:sz w:val="20"/>
        </w:rPr>
        <w:t xml:space="preserve"> </w:t>
      </w:r>
      <w:r>
        <w:rPr>
          <w:sz w:val="20"/>
        </w:rPr>
        <w:t>Redocking controls for GTP-1 (ligand Y9H) at chain K of PDB 8FUG.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5368"/>
        <w:gridCol w:w="1851"/>
        <w:gridCol w:w="1018"/>
        <w:gridCol w:w="833"/>
      </w:tblGrid>
      <w:tr>
        <w:tc>
          <w:tcPr>
            <w:tcW w:type="dxa" w:w="53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Control</w:t>
            </w:r>
          </w:p>
        </w:tc>
        <w:tc>
          <w:tcPr>
            <w:tcW w:type="dxa" w:w="185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Vina (kcal mol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01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RMSD (Å)</w:t>
            </w:r>
          </w:p>
        </w:tc>
        <w:tc>
          <w:tcPr>
            <w:tcW w:type="dxa" w:w="83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ligand-free fibril: self-redock, crystal conformation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−7.48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ligand-free fibril: production protocol, from SMILES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−8.34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6.28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  <w:tr>
        <w:tc>
          <w:tcPr>
            <w:tcW w:type="dxa" w:w="5368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tracer stack present: self-redock, crystal conformation</w:t>
            </w:r>
          </w:p>
        </w:tc>
        <w:tc>
          <w:tcPr>
            <w:tcW w:type="dxa" w:w="1851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−9.59</w:t>
            </w:r>
          </w:p>
        </w:tc>
        <w:tc>
          <w:tcPr>
            <w:tcW w:type="dxa" w:w="101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0.71</w:t>
            </w:r>
          </w:p>
        </w:tc>
        <w:tc>
          <w:tcPr>
            <w:tcW w:type="dxa" w:w="83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53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tracer stack present: production protocol, from SMILES</w:t>
            </w:r>
          </w:p>
        </w:tc>
        <w:tc>
          <w:tcPr>
            <w:tcW w:type="dxa" w:w="185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−8.28</w:t>
            </w:r>
          </w:p>
        </w:tc>
        <w:tc>
          <w:tcPr>
            <w:tcW w:type="dxa" w:w="101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83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FAILED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S6</w:t>
      </w:r>
      <w:r>
        <w:rPr>
          <w:sz w:val="20"/>
        </w:rPr>
        <w:t xml:space="preserve"> </w:t>
      </w:r>
      <w:r>
        <w:rPr>
          <w:sz w:val="20"/>
        </w:rPr>
        <w:t>Per-drug results: Vina score at the GTP-1 site of PDB 8FUG; GFN2-xTB Δ</w:t>
      </w:r>
      <w:r>
        <w:rPr>
          <w:i/>
          <w:sz w:val="20"/>
        </w:rPr>
        <w:t>E</w:t>
      </w:r>
      <w:r>
        <w:rPr>
          <w:sz w:val="20"/>
          <w:vertAlign w:val="subscript"/>
        </w:rPr>
        <w:t>int</w:t>
      </w:r>
      <w:r>
        <w:rPr>
          <w:sz w:val="20"/>
        </w:rPr>
        <w:t xml:space="preserve"> and Δ</w:t>
      </w:r>
      <w:r>
        <w:rPr>
          <w:i/>
          <w:sz w:val="20"/>
        </w:rPr>
        <w:t>E</w:t>
      </w:r>
      <w:r>
        <w:rPr>
          <w:sz w:val="20"/>
          <w:vertAlign w:val="subscript"/>
        </w:rPr>
        <w:t>ads</w:t>
      </w:r>
      <w:r>
        <w:rPr>
          <w:sz w:val="20"/>
        </w:rPr>
        <w:t xml:space="preserve"> on the supported β</w:t>
      </w:r>
      <w:r>
        <w:rPr>
          <w:sz w:val="20"/>
          <w:vertAlign w:val="subscript"/>
        </w:rPr>
        <w:t>12</w:t>
      </w:r>
      <w:r>
        <w:rPr>
          <w:sz w:val="20"/>
        </w:rPr>
        <w:t xml:space="preserve"> B</w:t>
      </w:r>
      <w:r>
        <w:rPr>
          <w:sz w:val="20"/>
          <w:vertAlign w:val="subscript"/>
        </w:rPr>
        <w:t>44</w:t>
      </w:r>
      <w:r>
        <w:rPr>
          <w:sz w:val="20"/>
        </w:rPr>
        <w:t>H</w:t>
      </w:r>
      <w:r>
        <w:rPr>
          <w:sz w:val="20"/>
          <w:vertAlign w:val="subscript"/>
        </w:rPr>
        <w:t>16</w:t>
      </w:r>
      <w:r>
        <w:rPr>
          <w:sz w:val="20"/>
        </w:rPr>
        <w:t xml:space="preserve"> sheet (kcal mol</w:t>
      </w:r>
      <w:r>
        <w:rPr>
          <w:sz w:val="20"/>
          <w:vertAlign w:val="superscript"/>
        </w:rPr>
        <w:t>−1</w:t>
      </w:r>
      <w:r>
        <w:rPr>
          <w:sz w:val="20"/>
        </w:rPr>
        <w:t xml:space="preserve">); closest drug–carrier heavy-atom contact </w:t>
      </w:r>
      <w:r>
        <w:rPr>
          <w:i/>
          <w:sz w:val="20"/>
        </w:rPr>
        <w:t>d</w:t>
      </w:r>
      <w:r>
        <w:rPr>
          <w:sz w:val="20"/>
          <w:vertAlign w:val="subscript"/>
        </w:rPr>
        <w:t>min</w:t>
      </w:r>
      <w:r>
        <w:rPr>
          <w:sz w:val="20"/>
        </w:rPr>
        <w:t xml:space="preserve"> (Å); regime; drug–carrier bond types; whether the drug kept its own bonding.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2375"/>
        <w:gridCol w:w="863"/>
        <w:gridCol w:w="971"/>
        <w:gridCol w:w="971"/>
        <w:gridCol w:w="755"/>
        <w:gridCol w:w="971"/>
        <w:gridCol w:w="1187"/>
        <w:gridCol w:w="971"/>
      </w:tblGrid>
      <w:tr>
        <w:tc>
          <w:tcPr>
            <w:tcW w:type="dxa" w:w="237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Compound</w:t>
            </w:r>
          </w:p>
        </w:tc>
        <w:tc>
          <w:tcPr>
            <w:tcW w:type="dxa" w:w="86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75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5"/>
              </w:rPr>
              <w:t>d</w:t>
            </w:r>
            <w:r>
              <w:rPr>
                <w:b/>
                <w:sz w:val="15"/>
                <w:vertAlign w:val="subscript"/>
              </w:rPr>
              <w:t>min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118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Bonds</w:t>
            </w:r>
          </w:p>
        </w:tc>
        <w:tc>
          <w:tcPr>
            <w:tcW w:type="dxa" w:w="97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Congo Red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−8.87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−232.5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−105.1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H–B, O–B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Chrysamine G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−187.5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−110.2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Tideglusib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−120.0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2.15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chem.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S–B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Azure A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−6.93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−99.1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−86.7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Toluidine Blue O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−7.42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−97.6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−84.7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Methylene Blue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−95.0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−81.5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Thioflavin-T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−7.40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−69.7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Myricetin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−58.5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−51.3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Quercetin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−57.8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−50.1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Luteolin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−55.6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−44.8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Rosmarinic Acid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−6.68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−55.3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Fisetin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−44.9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Curcumin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−7.64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−43.3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Baicalein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−7.36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−52.9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−43.9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EGCG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−52.6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−40.6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Apigenin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−7.52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FDDNP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−36.7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Donepezil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−27.1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Resveratrol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−6.76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AZD1080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−27.0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Honokiol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−6.20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3.15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Anle138b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−8.38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Hydromethylthionine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3.40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Bexarotene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−7.11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−27.2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−20.2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Galantamine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−5.33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−26.9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−21.2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3.27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Tacrine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−6.28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−17.6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Rivastigmine</w:t>
            </w:r>
          </w:p>
        </w:tc>
        <w:tc>
          <w:tcPr>
            <w:tcW w:type="dxa" w:w="86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−5.11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−20.3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−15.4</w:t>
            </w:r>
          </w:p>
        </w:tc>
        <w:tc>
          <w:tcPr>
            <w:tcW w:type="dxa" w:w="75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3.34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37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Memantine</w:t>
            </w:r>
          </w:p>
        </w:tc>
        <w:tc>
          <w:tcPr>
            <w:tcW w:type="dxa" w:w="86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−5.35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5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3.58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phys.</w:t>
            </w:r>
          </w:p>
        </w:tc>
        <w:tc>
          <w:tcPr>
            <w:tcW w:type="dxa" w:w="118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97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