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Journal of Molecular Modeling (Springer Nature)</w:t>
      </w:r>
    </w:p>
    <w:p>
      <w:r>
        <w:rPr>
          <w:b/>
        </w:rPr>
        <w:t>Subject: Submission of Original Research Article for Peer Review</w:t>
      </w:r>
    </w:p>
    <w:p>
      <w:r>
        <w:t>Dear Editor,</w:t>
      </w:r>
    </w:p>
    <w:p>
      <w:r>
        <w:t>On behalf of my co-authors (Sara Lizbeth Franco Amaya, Carlos Ivanhoe Martínez Osorio, and myself), I am pleased to submit our original research manuscript for consideration as a Full Research Article in the Journal of Molecular Modeling:</w:t>
      </w:r>
    </w:p>
    <w:p>
      <w:r>
        <w:rPr>
          <w:b/>
          <w:color w:val="4A148C"/>
        </w:rPr>
        <w:t>“Machine Learning-Driven Nano-QSAR and Quantum Chemical Design of Functionalized 2D Borophene Nanosheets for Targeted Disaggregation of Pathological Tau Fibrils in Alzheimer's Disease”</w:t>
      </w:r>
    </w:p>
    <w:p>
      <w:r>
        <w:t>The study integrates GFN2-xTB quantum-chemical adsorption modeling of 29 Alzheimer's/Tau-directed therapeutics on a pristine β12 borophene cluster, AutoDock Vina docking against the cryo-EM Tau filament core (PDB ID: 5O3L), and a leak-free nested cross-validated surrogate -- squarely within the journal's scope in computational and theoretical chemistry.</w:t>
      </w:r>
    </w:p>
    <w:p>
      <w:r>
        <w:rPr>
          <w:b/>
        </w:rPr>
        <w:t>Real, pipeline-traceable results:</w:t>
      </w:r>
    </w:p>
    <w:p>
      <w:pPr>
        <w:ind w:left="432"/>
      </w:pPr>
      <w:r>
        <w:t>GFN2-xTB adsorption of 29 therapeutics on a pristine β12 borophene cluster, every drug-surface complex relaxed (4 orientations); frontier-orbital and conceptual-DFT indices taken directly from the xtb output.</w:t>
      </w:r>
    </w:p>
    <w:p>
      <w:pPr>
        <w:ind w:left="432"/>
      </w:pPr>
      <w:r>
        <w:t>Central result: 12 of the 29 ligands chemisorb (covalent B-C/B-O, ΔE_int,SP -81 to -233 kcal/mol); 17 physisorb (-8 to -44 kcal/mol). Pristine borophene is a reactive surface, not a reversible carrier, for the π-rich phenol/dye chemotype.</w:t>
      </w:r>
    </w:p>
    <w:p>
      <w:pPr>
        <w:ind w:left="432"/>
      </w:pPr>
      <w:r>
        <w:t>A single reproducible AutoDock Vina v1.2.7 docking run against the cryo-EM Tau filament core (PDB 5O3L): -3.8 to -6.8 kcal/mol, mean -4.7.</w:t>
      </w:r>
    </w:p>
    <w:p>
      <w:pPr>
        <w:ind w:left="432"/>
      </w:pPr>
      <w:r>
        <w:t>Leak-free nested 5x5 cross-validated surrogate: Q2_CV = 0.06 (physisorption energy) and 0.35 for the docking score (falling to ~0.15 under a stricter Y-scrambled protocol) -- descriptor-based prediction is weak; the chemisorption/physisorption dichotomy is the model-free contribution, disclosed as such.</w:t>
      </w:r>
    </w:p>
    <w:p>
      <w:pPr>
        <w:ind w:left="432"/>
      </w:pPr>
      <w:r>
        <w:t>Full open-source pipeline and data archive (Zenodo DOI 10.5281/zenodo.22187834), reproducing every value and figure in the manuscript.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  <w:br/>
        <w:t>Universidad Estatal de Sonora, Mexico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