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[28,29] against the cryo-EM Alzheimer Tau filament core, PDB ID: 5O3L [7]), and a leak-free cross-validated explainable Nano-QSAR surrogate, for a curated cohort of 29 clinical-stage and experimental Tau-directed therapeutics (including hydromethylthionine/LMTX, EGCG, curcumin, tideglusib and AZD1080). Each drug-borophene complex was built by placing the drug 3.2 Angstrom above the sheet in four orientations and relaxing it with GFN2-xTB. The optimised complexes fall into two clearly separated regimes: 12 of the 29 ligands CHEMISORB on the pristine B40H15 sheet, forming a new covalent B-C or B-O bond (closest contact 1.36-1.69 Angstrom, Delta_E_int,SP = -81 to -233 kcal/mol) - among them the polyphenols curcumin, luteolin, apigenin, fisetin and baicalein, the azo dyes Congo red and Chrysamine G, and the phenothiazine dyes; the remaining 17 physisorb, stacked flat at 2.6-3.7 Angstrom with Delta_E_int,SP = -8 to -44 kcal/mol. Pristine beta-12 borophene is therefore a chemically reactive surface, not a reversible physisorptive carrier, for a large fraction of these ligands. Docking against the Tau filament core gave Vina scores of -3.79 to -6.83 kcal/mol (mean -5.17), with recurrent contacts at the cross-beta residues Gly335, Leu357, Gln336, Val337 and Pro332. A leak-free nested 5x5 cross-validated RidgeCV surrogate on four descriptors reached only Q2_CV = 0.30 for the Tau-filament Vina docking score (n = 29) and Q2_CV = 0.06 for the 17-point physisorption interaction energy - descriptor-based prediction is weak for both, and the chemisorption/physisorption dichotomy is the robust result. A peptide-functionalized borophene for BBB transcytosis is discussed only as future work.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Computational and Experimental Section</w:t>
      </w:r>
    </w:p>
    <w:p>
      <w:r>
        <w:t>2.1 Quantum-chemical framework: All calculations use GFN2-xTB (xtb v6.7.1) with its default D4 dispersion treatment [24,26]. The isolated drugs (RDKit ETKDG + MMFF, then GFN2-xTB) and the hydrogen-terminated beta-12 borophene cluster (B40H15, C1) were geometry-optimised. Each drug-borophene complex was assembled by centring the drug over the sheet, offsetting it 3.2 Angstrom along the surface normal in four in-plane orientations (0, 90, 180, 270 deg) and optimising every orientation; the lowest-energy converged pose whose closest drug-carrier heavy-atom contact lies between 1.25 and 4.0 Angstrom is retained. The standardised interaction energy Delta_E_int,SP = E(complex) - E(borophene) - E(drug) is then evaluated with both fragments frozen at the complex geometry. Contacts below 1.9 Angstrom are classified as chemisorption (covalent B-C/B-O), the rest as physisorption. Conceptual-DFT global reactivity indices (hardness eta = gap/2, softness, electronegativity, electrophilicity omega = mu^2/2eta) [36,37] were read from the xtb output. The full driver (recompute_tau_adsorption.py) is in the repository; no descriptor or energy is estimated from an empirical formula.</w:t>
      </w:r>
    </w:p>
    <w:p>
      <w:r>
        <w:t>2.2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Two adsorption regimes on pristine beta-12 borophene</w:t>
      </w:r>
    </w:p>
    <w:p>
      <w:r>
        <w:t>After full GFN2-xTB relaxation of every drug/borophene complex, the 29 ligands separate into two well-defined groups (Figure 9, Figure 11). Twelve ligands CHEMISORB: the drug forms a new covalent bond to a surface boron atom (closest contact 1.36-1.69 Angstrom) and the interaction energy is very large, Delta_E_int,SP = -81 to -233 kcal/mol. This group comprises the flavones and flavonols curcumin (-92), luteolin (-107), apigenin (-104), fisetin (-85) and baicalein (-83), the azo dyes Congo red (-133) and Chrysamine G (-81), rosmarinic acid (-233), the imaging probe FDDNP (-177), and the three phenothiazine dyes methylene blue (-150), azure A (-153) and toluidine blue O (-167). In each case an accessible carbonyl, enol, phenol or exocyclic amine nucleophile adds across an electron-deficient tricoordinate boron of the sheet. The remaining 17 ligands PHYSISORB: they lie flat 2.6-3.7 Angstrom above the surface with Delta_E_int,SP = -8 to -44 kcal/mol, the strongest being quercetin (-44) and EGCG (-33) and the weakest memantine (-8) and hydromethylthionine (-9). The physisorbers are the sterically shielded rigid aromatics (thioflavin-T/-S, resveratrol, the acridine tacrine, the aminopyrazole Anle138b) and the aliphatic-amine cholinergics.</w:t>
      </w:r>
    </w:p>
    <w:p>
      <w:r>
        <w:t>The practical consequence is that pristine beta-12 borophene is a chemically reactive surface, not an inert physisorptive scaffold, for the pi-rich phenolic and dye-type Tau ligands: adsorption of those molecules would be effectively irreversible and would alter the drug covalently. A reversible drug-carrier application of borophene for this chemotype would require edge/basal-plane passivation or functionalisation that quenches the boron Lewis acidity; that surface was not modelled here.</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-3.79 to -6.83 kcal/mol (mean -5.17). The highest-ranked ligands are chrysamine G (-6.83), EGCG (-5.88), luteolin (-5.87), fisetin (-5.75) and donepezil (-5.75 kcal/mol); hydromethylthionine/LMTX scores -4.77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(b) ranking of the top-10 compounds (chrysamine G -6.83, EGCG -5.88 kcal/mol; hydromethylthionine/LMTX -4.77 kcal/mol).</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Gly335, Leu357, Gln336, Val337 and Pro332.</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3.3 Nano-QSAR surrogate model</w:t>
      </w:r>
    </w:p>
    <w:p>
      <w:r>
        <w:t>The chemisorbed and physisorbed groups are governed by different physics (covalent bond strength vs dispersion), so the physisorption surrogate is fit on the 17 physisorbers only. Both endpoints use the single 29-compound master table (Figure 5). A StandardScaler + RidgeCV model in a leak-free nested 5x5 cross-validation reached Q2_CV = 0.30 for the Tau-filament Vina docking score (n = 29) and Q2_CV = 0.06 for the 17-point physisorption interaction energy (four descriptors: MolWt, MolMR, E_HOMO, omega). Descriptor-based prediction is weak for both endpoints on this small, chemically narrow cohort; the exploratory ExtraTrees / SHAP ranking (Figure 6) is reported only as a qualitative indication and not as a validated structure-property relationship [39,40]. The chemisorption/physisorption outcome itself (Figure 11) is the robust, model-free result of this work.</w:t>
      </w:r>
    </w:p>
    <w:p>
      <w:pPr>
        <w:spacing w:before="200" w:after="80"/>
        <w:jc w:val="center"/>
      </w:pPr>
      <w:r>
        <w:drawing>
          <wp:inline xmlns:a="http://schemas.openxmlformats.org/drawingml/2006/main" xmlns:pic="http://schemas.openxmlformats.org/drawingml/2006/picture">
            <wp:extent cx="5669280" cy="2790081"/>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790081"/>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both on the 29-compound master table: (a) Tau-filament Vina docking score (n = 29, Q2_CV = 0.30); (b) GFN2-xTB physisorption interaction energy (17 physisorbers, Q2_CV = 0.06).</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8-descriptor matrix (Figure 8) gives h* = 0.93 with 28/29 compounds inside the domain for the docking endpoint, and h* = 1.59 with all 17 inside for the physisorption endpoint [31-33]. Given the near-zero cross-validated Q2 for the physisorption model, its domain statement is a formality; neither small cohort supports a quantitative structure-property model.</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30908"/>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30908"/>
                    </a:xfrm>
                    <a:prstGeom prst="rect"/>
                  </pic:spPr>
                </pic:pic>
              </a:graphicData>
            </a:graphic>
          </wp:inline>
        </w:drawing>
      </w:r>
    </w:p>
    <w:p>
      <w:pPr>
        <w:spacing w:after="240" w:line="276" w:lineRule="auto"/>
      </w:pPr>
      <w:r>
        <w:rPr>
          <w:b/>
          <w:color w:val="4A148C"/>
          <w:sz w:val="19"/>
        </w:rPr>
        <w:t xml:space="preserve">Figure 9: </w:t>
      </w:r>
      <w:r>
        <w:rPr>
          <w:i/>
          <w:sz w:val="19"/>
        </w:rPr>
        <w:t xml:space="preserve"> The two adsorption regimes on pristine beta-12 borophene, from the GFN2-xTB relaxed complexes. (a) pristine B40H15 carrier; (b) curcumin chemisorbed via a covalent B-C bond (contact 1.4 A, Delta_E_int,SP = -92 kcal/mol); (c) thioflavin-T physisorbed, stacked flat at 3.4 A (Delta_E_int,SP = -10 kcal/mol).</w:t>
      </w:r>
    </w:p>
    <w:p>
      <w:pPr>
        <w:pStyle w:val="Heading2"/>
        <w:keepNext/>
        <w:spacing w:before="280" w:after="120"/>
      </w:pPr>
      <w:r>
        <w:rPr>
          <w:rFonts w:ascii="Times New Roman" w:hAnsi="Times New Roman"/>
          <w:b/>
          <w:color w:val="311B92"/>
          <w:sz w:val="24"/>
        </w:rPr>
        <w:t>3.5 Interfacial charge redistribution</w:t>
      </w:r>
    </w:p>
    <w:p>
      <w:r>
        <w:t>For the most strongly interacting system, the charge-density difference Delta_rho = rho(complex) - rho(carrier) - rho(drug) was computed from the real GFN2-xTB densities of the curcumin / beta-12 borophene complex in its best-orientation relaxed pose, all fragments taken at the bound geometry on a common grid (Figure 10). A single compact pair of accumulation (yellow) and depletion (blue) lobes forms where the curcumin enol/methine carbon approaches the borophene sheet (nearest-atom separation 1.4 Angstrom), i.e. the interaction here is a short-range, orbital-mediated contact rather than pure dispersion. Weaker adsorbates in the set show no comparable interfacial feature.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4211527"/>
            <wp:docPr id="11" name="Picture 11"/>
            <wp:cNvGraphicFramePr>
              <a:graphicFrameLocks noChangeAspect="1"/>
            </wp:cNvGraphicFramePr>
            <a:graphic>
              <a:graphicData uri="http://schemas.openxmlformats.org/drawingml/2006/picture">
                <pic:pic>
                  <pic:nvPicPr>
                    <pic:cNvPr id="0" name="fig10_tau_charge_density_difference.png"/>
                    <pic:cNvPicPr/>
                  </pic:nvPicPr>
                  <pic:blipFill>
                    <a:blip r:embed="rId19"/>
                    <a:stretch>
                      <a:fillRect/>
                    </a:stretch>
                  </pic:blipFill>
                  <pic:spPr>
                    <a:xfrm>
                      <a:off x="0" y="0"/>
                      <a:ext cx="5669280" cy="4211527"/>
                    </a:xfrm>
                    <a:prstGeom prst="rect"/>
                  </pic:spPr>
                </pic:pic>
              </a:graphicData>
            </a:graphic>
          </wp:inline>
        </w:drawing>
      </w:r>
    </w:p>
    <w:p>
      <w:pPr>
        <w:spacing w:after="240" w:line="276" w:lineRule="auto"/>
      </w:pPr>
      <w:r>
        <w:rPr>
          <w:b/>
          <w:color w:val="4A148C"/>
          <w:sz w:val="19"/>
        </w:rPr>
        <w:t xml:space="preserve">Figure 10: </w:t>
      </w:r>
      <w:r>
        <w:rPr>
          <w:i/>
          <w:sz w:val="19"/>
        </w:rPr>
        <w:t xml:space="preserve"> Charge-density difference (real GFN2-xTB densities) for the curcumin / beta-12 borophene chemisorption complex. Isovalue +/-0.005 e bohr^-3; yellow = electron accumulation, blue = depletion. Delta_E_int,SP = -92 kcal/mol; closest B-C contact 1.4 A.</w:t>
      </w:r>
    </w:p>
    <w:p>
      <w:pPr>
        <w:spacing w:before="200" w:after="80"/>
        <w:jc w:val="center"/>
      </w:pPr>
      <w:r>
        <w:drawing>
          <wp:inline xmlns:a="http://schemas.openxmlformats.org/drawingml/2006/main" xmlns:pic="http://schemas.openxmlformats.org/drawingml/2006/picture">
            <wp:extent cx="5669280" cy="4225564"/>
            <wp:docPr id="12" name="Picture 12"/>
            <wp:cNvGraphicFramePr>
              <a:graphicFrameLocks noChangeAspect="1"/>
            </wp:cNvGraphicFramePr>
            <a:graphic>
              <a:graphicData uri="http://schemas.openxmlformats.org/drawingml/2006/picture">
                <pic:pic>
                  <pic:nvPicPr>
                    <pic:cNvPr id="0" name="fig11_tau_adsorption_landscape.png"/>
                    <pic:cNvPicPr/>
                  </pic:nvPicPr>
                  <pic:blipFill>
                    <a:blip r:embed="rId20"/>
                    <a:stretch>
                      <a:fillRect/>
                    </a:stretch>
                  </pic:blipFill>
                  <pic:spPr>
                    <a:xfrm>
                      <a:off x="0" y="0"/>
                      <a:ext cx="5669280" cy="4225564"/>
                    </a:xfrm>
                    <a:prstGeom prst="rect"/>
                  </pic:spPr>
                </pic:pic>
              </a:graphicData>
            </a:graphic>
          </wp:inline>
        </w:drawing>
      </w:r>
    </w:p>
    <w:p>
      <w:pPr>
        <w:spacing w:after="240" w:line="276" w:lineRule="auto"/>
      </w:pPr>
      <w:r>
        <w:rPr>
          <w:b/>
          <w:color w:val="4A148C"/>
          <w:sz w:val="19"/>
        </w:rPr>
        <w:t xml:space="preserve">Figure 11: </w:t>
      </w:r>
      <w:r>
        <w:rPr>
          <w:i/>
          <w:sz w:val="19"/>
        </w:rPr>
        <w:t xml:space="preserve"> GFN2-xTB adsorption landscape of the 29 Tau-directed ligands on pristine beta-12 borophene - closest drug-carrier heavy-atom contact vs Delta_E_int,SP. The two regimes are cleanly separated: 12 chemisorbers (grey band, covalent B-C/B-O at ~1.4 A, -81 to -233 kcal/mol) and 17 physisorbers (2.6-3.7 A, -8 to -44 kcal/mol).</w:t>
      </w:r>
    </w:p>
    <w:p>
      <w:pPr>
        <w:pStyle w:val="Heading1"/>
        <w:keepNext/>
        <w:spacing w:before="280" w:after="120"/>
      </w:pPr>
      <w:r>
        <w:rPr>
          <w:rFonts w:ascii="Times New Roman" w:hAnsi="Times New Roman"/>
          <w:b/>
          <w:color w:val="4A148C"/>
          <w:sz w:val="28"/>
        </w:rPr>
        <w:t>4. Conclusions</w:t>
      </w:r>
    </w:p>
    <w:p>
      <w:r>
        <w:t>We screened 29 Tau-directed therapeutics against pristine beta-12 borophene (B40H15) with GFN2-xTB, relaxing every drug-surface complex. The central result is that the pristine sheet does not behave as an inert physisorptive carrier: 12 of the 29 ligands - the pi-rich phenols (curcumin, luteolin, apigenin, fisetin, baicalein), the azo and phenothiazine dyes, rosmarinic acid and FDDNP - CHEMISORB, adding a nucleophilic group across an electron-deficient surface boron (B-C/B-O, contact 1.4-1.7 A, Delta_E_int,SP = -81 to -233 kcal/mol). Only 17 sterically shielded rigid aromatics and aliphatic-amine cholinergics physisorb (2.6-3.7 A, -8 to -44 kcal/mol). Adsorption of the reactive chemotype would be effectively irreversible and covalently modify the drug, so pristine borophene is unsuitable as a reversible drug-loading surface for these molecules; a passivated or functionalised borophene that quenches the boron Lewis acidity would be required and was not modelled. A descriptor-based QSPR of the physisorption energy is not predictive (Q2_CV = 0.06, n = 17); docking against the cryo-EM Tau filament core is reported as a relative surface-affinity ranking only.</w:t>
      </w:r>
    </w:p>
    <w:p>
      <w:pPr>
        <w:pStyle w:val="Heading1"/>
        <w:keepNext/>
        <w:spacing w:before="280" w:after="120"/>
      </w:pPr>
      <w:r>
        <w:rPr>
          <w:rFonts w:ascii="Times New Roman" w:hAnsi="Times New Roman"/>
          <w:b/>
          <w:color w:val="4A148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