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2670653"/>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2670653"/>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pPr>
      <w:r>
        <w:rPr>
          <w:b/>
        </w:rPr>
        <w:t xml:space="preserve">Context </w:t>
      </w:r>
      <w:r>
        <w:t>Tau aggregation into paired helical filaments is a defining neuropathological hallmark of Alzheimer's disease. We screen 29 Tau-directed therapeutics against pristine β12 borophene (B40H15) with GFN2-xTB, relaxing every drug-surface complex, and dock them against the cryo-EM Alzheimer Tau filament core (PDB ID: 5O3L). The complexes fall into two separated regimes: 12 of 29 ligands chemisorb, forming a covalent B-C or B-O bond (1.36-1.69 Å, ΔE_int,SP = -81 to -233 kcal/mol), while the remaining 17 physisorb (2.6-3.7 Å, -8 to -44 kcal/mol) -- pristine borophene is a chemically reactive surface, not a reversible carrier, for most of these ligands. Docking gave Vina scores of -3.76 to -6.75 kcal/mol (mean -4.73); a leak-free nested surrogate reached Q2_CV = 0.35 for the docking score (Y-scrambled Q2≈0.15, p=0.009) and 0.06 for the physisorption energy -- the chemisorption/physisorption dichotomy, not descriptor-based prediction, is the robust result.</w:t>
      </w:r>
    </w:p>
    <w:p>
      <w:pPr>
        <w:spacing w:after="160"/>
      </w:pPr>
      <w:r>
        <w:rPr>
          <w:b/>
        </w:rPr>
        <w:t xml:space="preserve">Methods </w:t>
      </w:r>
      <w:r>
        <w:t>All calculations use GFN2-xTB (xtb v6.7.1, D4 dispersion). Drugs and the hydrogen-terminated β12 borophene cluster (B40H15, C1) were geometry-optimized; each complex was built by centring the drug 3.2 Å above the sheet in four orientations, retaining the lowest-energy pose. Contacts below 1.9 Å are classified as chemisorption, the rest as physisorption. AutoDock Vina v1.2.7 docked against the cryo-EM Alzheimer Tau filament core (PDB ID: 5O3L); as a cross-β assembly, scores are a relative ranking. A StandardScaler+RidgeCV surrogate was trained inside a leak-free nested 5×5 cross-validation, feature importance via SHAP, applicability domain via OECD Principle 3 (Williams leverage).</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Experimental</w:t>
      </w:r>
    </w:p>
    <w:p>
      <w:r>
        <w:t>2.1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-3.76 to -6.75 kcal/mol (mean -4.73). The highest-ranked ligands are Congo Red (-6.75), Chrysamine G (-5.81), Donepezil (-5.68), Bexarotene (-5.29), Curcumin (-5.14) kcal/mol; hydromethylthionine/LMTX scores -4.69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(n = 29, mean -4.73 kcal/mol);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Pro332, Gln336, Asn359, Gly333 and Gly335.</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0.35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0.35);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3.5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4. Summary</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10.5281/zenodo.22187834.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