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Hyperphosphorylation and aggregation of microtubule-associated protein Tau into paired helical filaments (PHFs) is a defining neuropathological hallmark of Alzheimer's disease (AD) and correlates closely with cognitive decline [1,3,6]. Here we present a computational framework combining GFN2-xTB tight-binding quantum chemistry (with D4 dispersion) [24,26], physical molecular docking (AutoDock Vina v1.2.7 [28,29] against the cryo-EM Alzheimer Tau filament core, PDB ID: 5O3L [7]), and a leak-free cross-validated explainable Nano-QSAR surrogate, for a curated cohort of 29 clinical-stage and experimental Tau-directed therapeutics (including hydromethylthionine/LMTX, EGCG, curcumin, tideglusib and AZD1080). Each drug-borophene complex was built by placing the drug 3.2 Angstrom above the sheet in four orientations and relaxing it with GFN2-xTB. The optimised complexes fall into two clearly separated regimes: 12 of the 29 ligands CHEMISORB on the pristine B40H15 sheet, forming a new covalent B-C or B-O bond (closest contact 1.36-1.69 Angstrom, Delta_E_int,SP = -81 to -233 kcal/mol) - among them the polyphenols curcumin, luteolin, apigenin, fisetin and baicalein, the azo dyes Congo red and Chrysamine G, and the phenothiazine dyes; the remaining 17 physisorb, stacked flat at 2.6-3.7 Angstrom with Delta_E_int,SP = -8 to -44 kcal/mol. Pristine beta-12 borophene is therefore a chemically reactive surface, not a reversible physisorptive carrier, for a large fraction of these ligands. Docking against the Tau filament core gave Vina scores of -3.79 to -6.83 kcal/mol (mean -5.17), with recurrent contacts at the cross-beta residues Gly335, Leu357, Gln336, Val337 and Pro332. A leak-free nested 5x5 cross-validated RidgeCV surrogate reached Q2_CV = 0.46 for the isolated-drug docking score but only Q2_CV = 0.06 for the 17-point physisorption interaction energy - descriptor-based prediction fails for this quantity. A peptide-functionalized borophene for BBB transcytosis is discussed only as future work. Every value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most common neurodegenerative disorder worldwide [1]. Neurofibrillary tangles built from hyperphosphorylated Tau filaments follow a stereotyped spatiotemporal progression (Braak staging) that tracks clinical severity more tightly than amyloid burden [2,3,6]. Cryo-electron microscopy of patient-derived filament cores [7-10] has provided an atomic template for structure-based design of Tau ligands and aggregation modulators, of which the phenothiazine leuco-methylthioninium (hydromethylthionine / LMTX) is the most clinically advanced [11,12]; natural polyphenols such as EGCG and curcumin also remodel or inhibit Tau assembly in vitro [14,15].</w:t>
      </w:r>
    </w:p>
    <w:p>
      <w:r>
        <w:t>Two-dimensional boron (borophene), synthesized as several polymorphs including the beta-12 lattice [21-23], is metallic, strongly polarizable and forms delocalized multicentre B-B bonds, motivating its evaluation as a drug-loading surface. In this study the carrier is a hydrogen-terminated beta-12 borophene cluster (B40H15); a peptide-functionalized allotrope for receptor-mediated BBB transcytosis is considered only as a prospective extension (Conclusions), and all quantum results refer to the pristine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1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beta-12 borophene (B40H15), real AutoDock Vina docking against the cryo-EM Tau filament core (PDB 5O3L), and a leak-free cross-validated explainable Nano-QSAR surrogate.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Quantum-chemical framework: All calculations use GFN2-xTB (xtb v6.7.1) with its default D4 dispersion treatment [24,26]. The isolated drugs (RDKit ETKDG + MMFF, then GFN2-xTB) and the hydrogen-terminated beta-12 borophene cluster (B40H15, C1) were geometry-optimised. Each drug-borophene complex was assembled by centring the drug over the sheet, offsetting it 3.2 Angstrom along the surface normal in four in-plane orientations (0, 90, 180, 270 deg) and optimising every orientation; the lowest-energy converged pose whose closest drug-carrier heavy-atom contact lies between 1.25 and 4.0 Angstrom is retained. The standardised interaction energy Delta_E_int,SP = E(complex) - E(borophene) - E(drug) is then evaluated with both fragments frozen at the complex geometry. Contacts below 1.9 Angstrom are classified as chemisorption (covalent B-C/B-O), the rest as physisorption. Conceptual-DFT global reactivity indices (hardness eta = gap/2, softness, electronegativity, electrophilicity omega = mu^2/2eta) [36,37] were read from the xtb output. The full driver (recompute_tau_adsorption.py) is in the repository; no descriptor or energy is estimated from an empirical formula.</w:t>
      </w:r>
    </w:p>
    <w:p>
      <w:r>
        <w:t>2.2 Molecular docking: Docking used AutoDock Vina v1.2.7 [28,29] against the cryo-EM structure of the Alzheimer Tau filament core (PDB ID: 5O3L [7]), with ligands protonated at pH 7.4 and prepared with Meeko. Because the paired-helical-filament core is a cross-beta assembly rather than a globular pocket, the Vina scores are reported as a relative ranking of surface / cleft affinity rather than an absolute binding free energy.</w:t>
      </w:r>
    </w:p>
    <w:p>
      <w:r>
        <w:t>2.3 Surrogate model and applicability domain: A StandardScaler + RidgeCV model was trained inside a leak-free nested 5x5 cross-validation on the real observed data (four descriptors: MolWt, MolMR, E_HOMO, omega). Feature importance was inspected with an ExtraTrees estimator and SHAP [35] and is reported as exploratory only. The applicability domain follows OECD Principle 3 [31-33] via Williams hat-matrix leverage.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9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9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Real quantum conceptual-DFT electronic reactivity of the isolated Tau therapeutics (real GFN2-xTB single points, n=29): (a) HOMO/LUMO frontier-orbital distribution; (b) chemical hardness vs. electrophilicity index. No real complex-level frontier-orbital calculation exists for the borophene surface.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3.1 Two adsorption regimes on pristine beta-12 borophene</w:t>
      </w:r>
    </w:p>
    <w:p>
      <w:r>
        <w:t>After full GFN2-xTB relaxation of every drug/borophene complex, the 29 ligands separate into two well-defined groups (Figure 9, Figure 11). Twelve ligands CHEMISORB: the drug forms a new covalent bond to a surface boron atom (closest contact 1.36-1.69 Angstrom) and the interaction energy is very large, Delta_E_int,SP = -81 to -233 kcal/mol. This group comprises the flavones and flavonols curcumin (-92), luteolin (-107), apigenin (-104), fisetin (-85) and baicalein (-83), the azo dyes Congo red (-133) and Chrysamine G (-81), rosmarinic acid (-233), the imaging probe FDDNP (-177), and the three phenothiazine dyes methylene blue (-150), azure A (-153) and toluidine blue O (-167). In each case an accessible carbonyl, enol, phenol or exocyclic amine nucleophile adds across an electron-deficient tricoordinate boron of the sheet. The remaining 17 ligands PHYSISORB: they lie flat 2.6-3.7 Angstrom above the surface with Delta_E_int,SP = -8 to -44 kcal/mol, the strongest being quercetin (-44) and EGCG (-33) and the weakest memantine (-8) and hydromethylthionine (-9). The physisorbers are the sterically shielded rigid aromatics (thioflavin-T/-S, resveratrol, the acridine tacrine, the aminopyrazole Anle138b) and the aliphatic-amine cholinergics.</w:t>
      </w:r>
    </w:p>
    <w:p>
      <w:r>
        <w:t>The practical consequence is that pristine beta-12 borophene is a chemically reactive surface, not an inert physisorptive scaffold, for the pi-rich phenolic and dye-type Tau ligands: adsorption of those molecules would be effectively irreversible and would alter the drug covalently. A reversible drug-carrier application of borophene for this chemotype would require edge/basal-plane passivation or functionalisation that quenches the boron Lewis acidity; that surface was not modelled here.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3.2 Docking against the cryo-EM Tau filament core</w:t>
      </w:r>
    </w:p>
    <w:p>
      <w:r>
        <w:t>AutoDock Vina scores against the Tau filament core (PDB 5O3L) span -3.79 to -6.83 kcal/mol (mean -5.17). The highest-ranked ligands are chrysamine G (-6.83), EGCG (-5.88), luteolin (-5.87), fisetin (-5.75) and donepezil (-5.75 kcal/mol); hydromethylthionine/LMTX scores -4.77 kcal/mol. The cross-beta assembly offers no deep pocket, so these values rank relative surface / cleft affinity rather than absolute binding free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050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Molecular docking statistical profiles against the cryo-EM Tau filament core (PDB 5O3L): (a) distribution of real Vina scores; (b) ranking of the top-10 compounds (chrysamine G -6.83, EGCG -5.88 kcal/mol; hydromethylthionine/LMTX -4.77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Tau filament core (real Vina poses, contact distance &lt;= 3.8 A): most frequent contacts are the cross-beta residues Gly335, Leu357, Gln336, Val337 and Pro332.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-8.49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38.08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-10.04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33.53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32.64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Tideglusib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Irreversible GSK-3beta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346.4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40.54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AZD1080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GSK-3alpha/beta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27.11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3.3 Nano-QSAR surrogate model</w:t>
      </w:r>
    </w:p>
    <w:p>
      <w:r>
        <w:t>The chemisorbed and physisorbed groups are governed by different physics (covalent bond strength vs dispersion), so the surrogate is fit on the 17 physisorbers only. A StandardScaler + RidgeCV model evaluated by leak-free nested 5x5 cross-validation reached Q2_CV = 0.46 for the isolated-drug docking score (n = 29) but only Q2_CV = 0.06 for the 17-point physisorption interaction energy (four descriptors: MolWt, MolMR, E_HOMO, omega). Descriptor-based prediction of the physisorption energy on this small, chemically narrow surface therefore fails; the exploratory ExtraTrees / SHAP ranking (Figure 6) is reported only as a qualitative indication and not as a validated structure-property relationship [39,40]. The chemisorption/physisorption outcome itself (Figure 11) is the robust, model-free result of this work.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8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the isolated and pristine-borophene systems. The chi3-PEG-Tf functionalized system has no real data and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feature-importance ranking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29 Alzheimer/Tau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3.4 Applicability domain (OECD Principle 3)</w:t>
      </w:r>
    </w:p>
    <w:p>
      <w:r>
        <w:t>For the 17-compound physisorption set, Williams hat-matrix leverage on the 8-descriptor matrix gives a warning leverage h* = 1.59 with all 17 compounds below h* and within +/-3sigma standardised residual (Figure 8) [31-33]. Given n = 17 and the near-zero cross-validated Q2, the domain statement is a formality; the small physisorber set does not support a quantitative structure-property model.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450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5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 Williams plots defining the applicability domain for the Tau therapeutics on beta-12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309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0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The two adsorption regimes on pristine beta-12 borophene, from the GFN2-xTB relaxed complexes. (a) pristine B40H15 carrier; (b) curcumin chemisorbed via a covalent B-C bond (contact 1.4 A, Delta_E_int,SP = -92 kcal/mol); (c) thioflavin-T physisorbed, stacked flat at 3.4 A (Delta_E_int,SP = -10 kcal/mol).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311B92"/>
          <w:sz w:val="24"/>
        </w:rPr>
        <w:t>3.5 Interfacial charge redistribution</w:t>
      </w:r>
    </w:p>
    <w:p>
      <w:r>
        <w:t>For the most strongly interacting system, the charge-density difference Delta_rho = rho(complex) - rho(carrier) - rho(drug) was computed from the real GFN2-xTB densities of the curcumin / beta-12 borophene complex in its best-orientation relaxed pose, all fragments taken at the bound geometry on a common grid (Figure 10). A single compact pair of accumulation (yellow) and depletion (blue) lobes forms where the curcumin enol/methine carbon approaches the borophene sheet (nearest-atom separation 1.4 Angstrom), i.e. the interaction here is a short-range, orbital-mediated contact rather than pure dispersion. Weaker adsorbates in the set show no comparable interfacial feature.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115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au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curcumin / beta-12 borophene chemisorption complex. Isovalue +/-0.005 e bohr^-3; yellow = electron accumulation, blue = depletion. Delta_E_int,SP = -92 kcal/mol; closest B-C contact 1.4 A.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255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tau_adsorption_landscap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11: </w:t>
      </w:r>
      <w:r>
        <w:rPr>
          <w:i/>
          <w:sz w:val="19"/>
        </w:rPr>
        <w:t xml:space="preserve"> GFN2-xTB adsorption landscape of the 29 Tau-directed ligands on pristine beta-12 borophene - closest drug-carrier heavy-atom contact vs Delta_E_int,SP. The two regimes are cleanly separated: 12 chemisorbers (grey band, covalent B-C/B-O at ~1.4 A, -81 to -233 kcal/mol) and 17 physisorbers (2.6-3.7 A, -8 to -44 kcal/mol).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We screened 29 Tau-directed therapeutics against pristine beta-12 borophene (B40H15) with GFN2-xTB, relaxing every drug-surface complex. The central result is that the pristine sheet does not behave as an inert physisorptive carrier: 12 of the 29 ligands - the pi-rich phenols (curcumin, luteolin, apigenin, fisetin, baicalein), the azo and phenothiazine dyes, rosmarinic acid and FDDNP - CHEMISORB, adding a nucleophilic group across an electron-deficient surface boron (B-C/B-O, contact 1.4-1.7 A, Delta_E_int,SP = -81 to -233 kcal/mol). Only 17 sterically shielded rigid aromatics and aliphatic-amine cholinergics physisorb (2.6-3.7 A, -8 to -44 kcal/mol). Adsorption of the reactive chemotype would be effectively irreversible and covalently modify the drug, so pristine borophene is unsuitable as a reversible drug-loading surface for these molecules; a passivated or functionalised borophene that quenches the boron Lewis acidity would be required and was not modelled. A descriptor-based QSPR of the physisorption energy is not predictive (Q2_CV = 0.06, n = 17); docking against the cryo-EM Tau filament core is reported as a relative surface-affinity ranking only.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Scheltens, P.; De Strooper, B.; Kivipelto, M.; Holstege, H.; Chételat, G.; Teunissen, C. E.; Cummings, J.; van der Flier, W. M. Alzheimer's disease. The Lancet 2021, 397 (10284), 1577-1590. </w:t>
      </w:r>
      <w:r>
        <w:rPr>
          <w:i/>
          <w:color w:val="4A148C"/>
          <w:sz w:val="18"/>
        </w:rPr>
        <w:t>doi:10.1016/s0140-6736(20)32205-4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Gao, Y.; Tan, L.; Yu, J. T.; Tan, L. Tau in Alzheimer's Disease: Mechanisms and Therapeutic Strategies. Current Alzheimer Research 2018, 15 (3), 283-300. </w:t>
      </w:r>
      <w:r>
        <w:rPr>
          <w:i/>
          <w:color w:val="4A148C"/>
          <w:sz w:val="18"/>
        </w:rPr>
        <w:t>doi:10.2174/1567205014666170417111859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Braak, H.; Braak, E. Neuropathological stageing of Alzheimer-related changes. Acta Neuropathologica 1991, 82 (4), 239-259. </w:t>
      </w:r>
      <w:r>
        <w:rPr>
          <w:i/>
          <w:color w:val="4A148C"/>
          <w:sz w:val="18"/>
        </w:rPr>
        <w:t>doi:10.1007/bf00308809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Wang, Y.; Mandelkow, E. Tau in physiology and pathology. Nature Reviews Neuroscience 2015, 17 (1), 22-35. </w:t>
      </w:r>
      <w:r>
        <w:rPr>
          <w:i/>
          <w:color w:val="4A148C"/>
          <w:sz w:val="18"/>
        </w:rPr>
        <w:t>doi:10.1038/nrn.2015.1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Iqbal, K.; Liu, F.; Gong, C. X.; Grundke-Iqbal, I. Tau in Alzheimer Disease and Related Tauopathies. Current Alzheimer Research 2010, 7 (8), 656-664. </w:t>
      </w:r>
      <w:r>
        <w:rPr>
          <w:i/>
          <w:color w:val="4A148C"/>
          <w:sz w:val="18"/>
        </w:rPr>
        <w:t>doi:10.2174/156720510793611592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Spillantini, M. G.; Goedert, M. Tau pathology and neurodegeneration. The Lancet Neurology 2013, 12 (6), 609-622. </w:t>
      </w:r>
      <w:r>
        <w:rPr>
          <w:i/>
          <w:color w:val="4A148C"/>
          <w:sz w:val="18"/>
        </w:rPr>
        <w:t>doi:10.1016/s1474-4422(13)70090-5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Fitzpatrick, A. W. P.; Falcon, B.; He, S.; Murzin, A. G.; Murshudov, G.; Garringer, H. J.; Crowther, R. A.; Ghetti, B.; Goedert, M.; Scheres, S. H. W. Cryo-EM structures of tau filaments from Alzheimer’s disease. Nature 2017, 547 (7662), 185-190. </w:t>
      </w:r>
      <w:r>
        <w:rPr>
          <w:i/>
          <w:color w:val="4A148C"/>
          <w:sz w:val="18"/>
        </w:rPr>
        <w:t>doi:10.1038/nature23002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Falcon, B.; Zhang, W.; Murzin, A. G.; Murshudov, G.; Garringer, H. J.; Vidal, R.; Crowther, R. A.; Ghetti, B.; Scheres, S. H. W.; Goedert, M. Structures of filaments from Pick’s disease reveal a novel tau protein fold. Nature 2018, 561 (7721), 137-140. </w:t>
      </w:r>
      <w:r>
        <w:rPr>
          <w:i/>
          <w:color w:val="4A148C"/>
          <w:sz w:val="18"/>
        </w:rPr>
        <w:t>doi:10.1038/s41586-018-0454-y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Zhang, W.; Tarutani, A.; Newell, K. L.; Murzin, A. G.; Matsubara, T.; Falcon, B.; Vidal, R.; Garringer, H. J.; Shi, Y.; Ikeuchi, T.; et al. Novel tau filament fold in corticobasal degeneration. Nature 2020, 580 (7802), 283-287. </w:t>
      </w:r>
      <w:r>
        <w:rPr>
          <w:i/>
          <w:color w:val="4A148C"/>
          <w:sz w:val="18"/>
        </w:rPr>
        <w:t>doi:10.1038/s41586-020-2043-0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Shi, Y.; Zhang, W.; Yang, Y.; Murzin, A. G.; Falcon, B.; Kotecha, A.; van Beers, M.; Tarutani, A.; Kametani, F.; Garringer, H. J.; et al. Structure-based classification of tauopathies. Nature 2021, 598 (7880), 359-363. </w:t>
      </w:r>
      <w:r>
        <w:rPr>
          <w:i/>
          <w:color w:val="4A148C"/>
          <w:sz w:val="18"/>
        </w:rPr>
        <w:t>doi:10.1038/s41586-021-03911-7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Wischik, C. M.; Edwards, P. C.; Lai, R. Y.; Roth, M.; Harrington, C. R. Selective inhibition of Alzheimer disease-like tau aggregation by phenothiazines. Proceedings of the National Academy of Sciences 1996, 93 (20), 11213-11218. </w:t>
      </w:r>
      <w:r>
        <w:rPr>
          <w:i/>
          <w:color w:val="4A148C"/>
          <w:sz w:val="18"/>
        </w:rPr>
        <w:t>doi:10.1073/pnas.93.20.11213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Baddeley, T. C.; McCaffrey, J.; M. D. Storey, J.; Cheung, J. K.; Melis, V.; Horsley, D.; Harrington, C. R.; Wischik, C. M. Complex Disposition of Methylthioninium Redox Forms Determines Efficacy in Tau Aggregation Inhibitor Therapy for Alzheimer’s Disease. The Journal of Pharmacology and Experimental Therapeutics 2015, 352 (1), 110-118. </w:t>
      </w:r>
      <w:r>
        <w:rPr>
          <w:i/>
          <w:color w:val="4A148C"/>
          <w:sz w:val="18"/>
        </w:rPr>
        <w:t>doi:10.1124/jpet.114.219352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Gobbi, L. C.; Knust, H.; Körner, M.; Honer, M.; Czech, C.; Belli, S.; Muri, D.; Edelmann, M. R.; Hartung, T.; Erbsmehl, I.; et al. Identification of Three Novel Radiotracers for Imaging Aggregated Tau in Alzheimer’s Disease with Positron Emission Tomography. Journal of Medicinal Chemistry 2017, 60 (17), 7350-7370. </w:t>
      </w:r>
      <w:r>
        <w:rPr>
          <w:i/>
          <w:color w:val="4A148C"/>
          <w:sz w:val="18"/>
        </w:rPr>
        <w:t>doi:10.1021/acs.jmedchem.7b00632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Bieschke, J.; Russ, J.; Friedrich, R. P.; Ehrnhoefer, D. E.; Wobst, H.; Neugebauer, K.; Wanker, E. E. EGCG remodels mature α-synuclein and amyloid-β fibrils and reduces cellular toxicity. Proceedings of the National Academy of Sciences 2010, 107 (17), 7710-7715. </w:t>
      </w:r>
      <w:r>
        <w:rPr>
          <w:i/>
          <w:color w:val="4A148C"/>
          <w:sz w:val="18"/>
        </w:rPr>
        <w:t>doi:10.1073/pnas.0910723107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Rane, J. S.; Bhaumik, P.; Panda, D. Curcumin Inhibits Tau Aggregation and Disintegrates Preformed Tau Filaments in vitro. Journal of Alzheimer's Disease 2017, 60 (3), 999-1014. </w:t>
      </w:r>
      <w:r>
        <w:rPr>
          <w:i/>
          <w:color w:val="4A148C"/>
          <w:sz w:val="18"/>
        </w:rPr>
        <w:t>doi:10.3233/jad-170351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Wagner, J.; Ryazanov, S.; Leonov, A.; Levin, J.; Shi, S.; Schmidt, F.; Prix, C.; Pan-Montojo, F.; Bertsch, U.; Mitteregger-Kretzschmar, G.; et al. Anle138b: a novel oligomer modulator for disease-modifying therapy of neurodegenerative diseases such as prion and Parkinson’s disease. Acta Neuropathologica 2013, 125 (6), 795-813. </w:t>
      </w:r>
      <w:r>
        <w:rPr>
          <w:i/>
          <w:color w:val="4A148C"/>
          <w:sz w:val="18"/>
        </w:rPr>
        <w:t>doi:10.1007/s00401-013-1114-9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Serpell, L. C. Alzheimer’s amyloid fibrils: structure and assembly. Biochimica et Biophysica Acta (BBA) - Molecular Basis of Disease 2000, 1502 (1), 16-30. </w:t>
      </w:r>
      <w:r>
        <w:rPr>
          <w:i/>
          <w:color w:val="4A148C"/>
          <w:sz w:val="18"/>
        </w:rPr>
        <w:t>doi:10.1016/s0925-4439(00)00029-6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Congdon, E. E.; Sigurdsson, E. M. Tau-targeting therapies for Alzheimer disease. Nature Reviews Neurology 2018, 14 (7), 399-415. </w:t>
      </w:r>
      <w:r>
        <w:rPr>
          <w:i/>
          <w:color w:val="4A148C"/>
          <w:sz w:val="18"/>
        </w:rPr>
        <w:t>doi:10.1038/s41582-018-0013-z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Seidler, P. M.; Boyer, D. R.; Rodriguez, J. A.; Sawaya, M. R.; Cascio, D.; Murray, K.; Gonen, T.; Eisenberg, D. S. Structure-based inhibitors of tau aggregation. Nature Chemistry 2017, 10 (2), 170-176. </w:t>
      </w:r>
      <w:r>
        <w:rPr>
          <w:i/>
          <w:color w:val="4A148C"/>
          <w:sz w:val="18"/>
        </w:rPr>
        <w:t>doi:10.1038/nchem.2889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Bouter, C.; Henniges, P.; Franke, T. N.; Irwin, C.; Sahlmann, C. O.; Sichler, M. E.; Beindorff, N.; Bayer, T. A.; Bouter, Y. 18F-FDG-PET Detects Drastic Changes in Brain Metabolism in the Tg4–42 Model of Alzheimer’s Disease. Frontiers in Aging Neuroscience 2019, 10. </w:t>
      </w:r>
      <w:r>
        <w:rPr>
          <w:i/>
          <w:color w:val="4A148C"/>
          <w:sz w:val="18"/>
        </w:rPr>
        <w:t>doi:10.3389/fnagi.2018.00425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Mannix, A. J.; Zhou, X. F.; Kiraly, B.; Wood, J. D.; Alducin, D.; Myers, B. D.; Liu, X.; Fisher, B. L.; Santiago, U.; Guest, J. R.; et al. Synthesis of borophenes: Anisotropic, two-dimensional boron polymorphs. Science 2015, 350 (6267), 1513-1516. </w:t>
      </w:r>
      <w:r>
        <w:rPr>
          <w:i/>
          <w:color w:val="4A148C"/>
          <w:sz w:val="18"/>
        </w:rPr>
        <w:t>doi:10.1126/science.aad1080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Feng, B.; Zhang, J.; Zhong, Q.; Li, W.; Li, S.; Li, H.; Cheng, P.; Meng, S.; Chen, L.; Wu, K. Experimental realization of two-dimensional boron sheets. Nature Chemistry 2016, 8 (6), 563-568. </w:t>
      </w:r>
      <w:r>
        <w:rPr>
          <w:i/>
          <w:color w:val="4A148C"/>
          <w:sz w:val="18"/>
        </w:rPr>
        <w:t>doi:10.1038/nchem.2491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Zhang, Z.; Penev, E. S.; Yakobson, B. I. Two-dimensional boron: structures, properties and applications. Chemical Society Reviews 2017, 46 (22), 6746-6763. </w:t>
      </w:r>
      <w:r>
        <w:rPr>
          <w:i/>
          <w:color w:val="4A148C"/>
          <w:sz w:val="18"/>
        </w:rPr>
        <w:t>doi:10.1039/c7cs00261k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4A148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4A148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4A148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4A148C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4A148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4A148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4A148C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4A148C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4A148C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4A148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4A148C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4A148C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