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29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"Tau-directed drugs on β</w:t>
      </w:r>
      <w:r>
        <w:rPr>
          <w:vertAlign w:val="subscript"/>
        </w:rPr>
        <w:t>12</w:t>
      </w:r>
      <w:r>
        <w:rPr/>
        <w:t xml:space="preserve"> borophene: docking at the GTP-1 site of Alzheimer paired helical filaments and GFN2-xTB adsorption on a substrate-supported sheet" for consideration as an Original Paper in the Journal of Molecular Modeling.</w:t>
      </w:r>
    </w:p>
    <w:p>
      <w:pPr>
        <w:jc w:val="both"/>
      </w:pPr>
      <w:r>
        <w:rPr/>
        <w:t>The study examines 28 tau-directed and Alzheimer drugs at the GTP-1 site of an Alzheimer paired-helical-filament cryo-EM structure and on β</w:t>
      </w:r>
      <w:r>
        <w:rPr>
          <w:vertAlign w:val="subscript"/>
        </w:rPr>
        <w:t>12</w:t>
      </w:r>
      <w:r>
        <w:rPr/>
        <w:t xml:space="preserve"> borophene as a candidate carrier. Two methodological findings are reported openly: docking into the ligand-free fibril does not reproduce the stacked tracer pose, so the scores are presented as exploratory, and an unconstrained borophene flake reconstructs during adsorption at the GFN2-xTB level, so the carrier is modelled as a planar sheet held at the lattice of Ag-supported β</w:t>
      </w:r>
      <w:r>
        <w:rPr>
          <w:vertAlign w:val="subscript"/>
        </w:rPr>
        <w:t>12</w:t>
      </w:r>
      <w:r>
        <w:rPr/>
        <w:t xml:space="preserve"> borophene. On this sheet 25 drugs physisorb and 3 chemisorb, with every complex checked for changes in the drug's bonding. A descriptor-based QSPR model, evaluated with nested cross-validation and Y-scrambling, explains part of the variance (</w:t>
      </w:r>
      <w:r>
        <w:rPr>
          <w:i/>
        </w:rPr>
        <w:t>Q</w:t>
      </w:r>
      <w:r>
        <w:rPr>
          <w:vertAlign w:val="superscript"/>
        </w:rPr>
        <w:t>2</w:t>
      </w:r>
      <w:r>
        <w:rPr>
          <w:vertAlign w:val="subscript"/>
        </w:rPr>
        <w:t>CV</w:t>
      </w:r>
      <w:r>
        <w:rPr/>
        <w:t xml:space="preserve"> = 0.23).</w:t>
      </w:r>
    </w:p>
    <w:p>
      <w:pPr>
        <w:jc w:val="both"/>
      </w:pPr>
      <w:r>
        <w:rPr/>
        <w:t>Related work. Supporting files of an earlier version of this study were deposited on Zenodo (https://doi.org/10.5281/zenodo.22700723); that version was superseded when the study was rebuilt from its raw inputs, and the results reported here replace it. A methods paper by the author, submitted to the Journal of Computational Biophysics and Chemistry, uses this study as one of four case studies of errors found and corrected during such rebuilds, and cites some of its summary numbers; the study is reported in full only in this manuscript.</w:t>
      </w:r>
    </w:p>
    <w:p>
      <w:pPr>
        <w:jc w:val="both"/>
      </w:pPr>
      <w:r>
        <w:rPr/>
        <w:t>All structures, relaxed geometries, docking poses and the complete pipeline that regenerates every number and figure are openly available. The manuscript is original,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