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76" w:lineRule="auto"/>
      </w:pPr>
      <w:r>
        <w:rPr>
          <w:b/>
          <w:color w:val="4A148C"/>
          <w:sz w:val="32"/>
        </w:rPr>
        <w:t>Machine Learning-Driven Nano-QSAR and Quantum Chemical Design of Functionalized 2D Borophene Nanosheets for Targeted Disaggregation of Pathological Tau Fibrils in Alzheimer's Disease</w:t>
      </w:r>
    </w:p>
    <w:p>
      <w:pPr>
        <w:spacing w:after="80"/>
      </w:pPr>
      <w:r>
        <w:rPr>
          <w:b/>
        </w:rPr>
        <w:t>Andrés Monreal Hernández</w:t>
      </w:r>
      <w:r>
        <w:t xml:space="preserve">1,*, </w:t>
      </w:r>
      <w:r>
        <w:rPr>
          <w:b/>
        </w:rPr>
        <w:t>Sara Lizbeth Franco Amaya</w:t>
      </w:r>
      <w:r>
        <w:t xml:space="preserve">2, and </w:t>
      </w:r>
      <w:r>
        <w:rPr>
          <w:b/>
        </w:rPr>
        <w:t>Carlos Ivanhoe Martínez Osorio</w:t>
      </w:r>
      <w:r>
        <w:t>3</w:t>
      </w:r>
    </w:p>
    <w:p>
      <w:pPr>
        <w:spacing w:after="280"/>
      </w:pPr>
      <w:r>
        <w:rPr>
          <w:i/>
          <w:sz w:val="19"/>
        </w:rPr>
        <w:t>1 Universidad Estatal de Sonora, Hermosillo, Sonora, Mexico. ORCID: 0009-0009-1207-8597</w:t>
        <w:br/>
        <w:t>2 Doctorado en Nanotecnología, Universidad de Sonora, Hermosillo, Sonora, Mexico. ORCID: 0009-0005-0272-0241</w:t>
        <w:br/>
        <w:t>3 Doctorado en Ciencia de Materiales, Universidad de Sonora, Hermosillo, Sonora, Mexico. ORCID: 0009-0003-7872-4965</w:t>
        <w:br/>
        <w:t>* Corresponding author: andres.monreal@ues.mx</w:t>
      </w:r>
    </w:p>
    <w:p>
      <w:pPr>
        <w:spacing w:before="200" w:after="80"/>
        <w:jc w:val="center"/>
      </w:pPr>
      <w:r>
        <w:drawing>
          <wp:inline xmlns:a="http://schemas.openxmlformats.org/drawingml/2006/main" xmlns:pic="http://schemas.openxmlformats.org/drawingml/2006/picture">
            <wp:extent cx="5669280" cy="3078902"/>
            <wp:docPr id="1" name="Picture 1"/>
            <wp:cNvGraphicFramePr>
              <a:graphicFrameLocks noChangeAspect="1"/>
            </wp:cNvGraphicFramePr>
            <a:graphic>
              <a:graphicData uri="http://schemas.openxmlformats.org/drawingml/2006/picture">
                <pic:pic>
                  <pic:nvPicPr>
                    <pic:cNvPr id="0" name="fig1_graphical_abstract.png"/>
                    <pic:cNvPicPr/>
                  </pic:nvPicPr>
                  <pic:blipFill>
                    <a:blip r:embed="rId9"/>
                    <a:stretch>
                      <a:fillRect/>
                    </a:stretch>
                  </pic:blipFill>
                  <pic:spPr>
                    <a:xfrm>
                      <a:off x="0" y="0"/>
                      <a:ext cx="5669280" cy="3078902"/>
                    </a:xfrm>
                    <a:prstGeom prst="rect"/>
                  </pic:spPr>
                </pic:pic>
              </a:graphicData>
            </a:graphic>
          </wp:inline>
        </w:drawing>
      </w:r>
    </w:p>
    <w:p>
      <w:pPr>
        <w:spacing w:after="240" w:line="276" w:lineRule="auto"/>
      </w:pPr>
      <w:r>
        <w:rPr>
          <w:b/>
          <w:color w:val="4A148C"/>
          <w:sz w:val="19"/>
        </w:rPr>
        <w:t xml:space="preserve">Graphical Abstract: </w:t>
      </w:r>
      <w:r>
        <w:rPr>
          <w:i/>
          <w:sz w:val="19"/>
        </w:rPr>
        <w:t xml:space="preserve"> Multi-Scale Quantum, Docking, and Machine Learning Framework for 2D Borophene Transcytosis and Targeted Disaggregation of Alzheimer's Tau Fibrils.</w:t>
      </w:r>
    </w:p>
    <w:p>
      <w:pPr>
        <w:pStyle w:val="Heading1"/>
        <w:keepNext/>
        <w:spacing w:before="280" w:after="120"/>
      </w:pPr>
      <w:r>
        <w:rPr>
          <w:rFonts w:ascii="Times New Roman" w:hAnsi="Times New Roman"/>
          <w:b/>
          <w:color w:val="4A148C"/>
          <w:sz w:val="28"/>
        </w:rPr>
        <w:t>Abstract</w:t>
      </w:r>
    </w:p>
    <w:p>
      <w:pPr>
        <w:spacing w:after="160" w:line="276" w:lineRule="auto"/>
      </w:pPr>
      <w:r>
        <w:t>Hyperphosphorylation and aggregation of microtubule-associated protein Tau into paired helical filaments (PHFs) is a defining neuropathological hallmark of Alzheimer's disease (AD) and correlates closely with cognitive decline [1,3,6]. Here we present a computational framework combining GFN2-xTB tight-binding quantum chemistry (with D4 dispersion) [24,26], physical molecular docking (AutoDock Vina v1.2.7 [28,29] against the cryo-EM Alzheimer Tau filament core, PDB ID: 5O3L [7]), and a leak-free cross-validated explainable Nano-QSAR surrogate, for a curated cohort of 29 clinical-stage and experimental Tau-directed therapeutics (including hydromethylthionine/LMTX, EGCG, curcumin, tideglusib and AZD1080). Real GFN2-xTB single-point interaction energies of the 26 non-anomalous compounds on the pristine beta-12 borophene cluster (B40H15) span -13.8 to -0.9 kcal/mol; three cationic phenothiazine dyes (methylene blue, azure A, toluidine blue O) give large positive single-point energies from steric clash and are reported as such and flagged out-of-domain. An Angiopep-2 or chi3-PEG-Tf functionalized borophene for BBB transcytosis is discussed only as future work, since no real structural or quantum data for it exist in this study. Docking against the Tau filament core gave Vina scores of -3.79 to -6.83 kcal/mol (mean -5.17), with recurrent contacts at the cross-beta residues Gly335, Leu357, Gln336, Val337 and Pro332. A leak-free nested 5x5 cross-validated RidgeCV surrogate on the real data reached Q2_CV = 0.46 (isolated descriptors) and 0.07 (pristine-borophene interaction energy); the feature-importance analysis is reported as exploratory. Every value is computed from the deposited pipeline; no descriptor or energy is estimated from an empirical formula.</w:t>
      </w:r>
    </w:p>
    <w:p>
      <w:pPr>
        <w:spacing w:after="280"/>
      </w:pPr>
      <w:r>
        <w:rPr>
          <w:b/>
        </w:rPr>
        <w:t xml:space="preserve">Keywords: </w:t>
      </w:r>
      <w:r>
        <w:t>2D Borophene; Alzheimer's Disease; Tau Paired Helical Filaments; LMTX; Blood-Brain Barrier; AutoDock Vina; Explainable AI (SHAP); OECD Validation.</w:t>
      </w:r>
    </w:p>
    <w:p>
      <w:pPr>
        <w:pStyle w:val="Heading1"/>
        <w:keepNext/>
        <w:spacing w:before="280" w:after="120"/>
      </w:pPr>
      <w:r>
        <w:rPr>
          <w:rFonts w:ascii="Times New Roman" w:hAnsi="Times New Roman"/>
          <w:b/>
          <w:color w:val="4A148C"/>
          <w:sz w:val="28"/>
        </w:rPr>
        <w:t>1. Introduction</w:t>
      </w:r>
    </w:p>
    <w:p>
      <w:r>
        <w:t>Alzheimer's disease (AD) is the most common neurodegenerative disorder worldwide [1]. Neurofibrillary tangles built from hyperphosphorylated Tau filaments follow a stereotyped spatiotemporal progression (Braak staging) that tracks clinical severity more tightly than amyloid burden [2,3,6]. Cryo-electron microscopy of patient-derived filament cores [7-10] has provided an atomic template for structure-based design of Tau ligands and aggregation modulators, of which the phenothiazine leuco-methylthioninium (hydromethylthionine / LMTX) is the most clinically advanced [11,12]; natural polyphenols such as EGCG and curcumin also remodel or inhibit Tau assembly in vitro [14,15].</w:t>
      </w:r>
    </w:p>
    <w:p>
      <w:r>
        <w:t>Two-dimensional boron (borophene), synthesized as several polymorphs including the beta-12 lattice [21-23], is metallic, strongly polarizable and forms delocalized multicentre B-B bonds, motivating its evaluation as a drug-loading surface. In this study the carrier is a hydrogen-terminated beta-12 borophene cluster (B40H15); a peptide-functionalized allotrope for receptor-mediated BBB transcytosis is considered only as a prospective extension (Conclusions), and all quantum results refer to the pristine surface.</w:t>
      </w:r>
    </w:p>
    <w:p>
      <w:pPr>
        <w:spacing w:before="200" w:after="80"/>
        <w:jc w:val="center"/>
      </w:pPr>
      <w:r>
        <w:drawing>
          <wp:inline xmlns:a="http://schemas.openxmlformats.org/drawingml/2006/main" xmlns:pic="http://schemas.openxmlformats.org/drawingml/2006/picture">
            <wp:extent cx="5669280" cy="2823139"/>
            <wp:docPr id="2" name="Picture 2"/>
            <wp:cNvGraphicFramePr>
              <a:graphicFrameLocks noChangeAspect="1"/>
            </wp:cNvGraphicFramePr>
            <a:graphic>
              <a:graphicData uri="http://schemas.openxmlformats.org/drawingml/2006/picture">
                <pic:pic>
                  <pic:nvPicPr>
                    <pic:cNvPr id="0" name="fig1_tau_workflow_methodology.png"/>
                    <pic:cNvPicPr/>
                  </pic:nvPicPr>
                  <pic:blipFill>
                    <a:blip r:embed="rId10"/>
                    <a:stretch>
                      <a:fillRect/>
                    </a:stretch>
                  </pic:blipFill>
                  <pic:spPr>
                    <a:xfrm>
                      <a:off x="0" y="0"/>
                      <a:ext cx="5669280" cy="2823139"/>
                    </a:xfrm>
                    <a:prstGeom prst="rect"/>
                  </pic:spPr>
                </pic:pic>
              </a:graphicData>
            </a:graphic>
          </wp:inline>
        </w:drawing>
      </w:r>
    </w:p>
    <w:p>
      <w:pPr>
        <w:spacing w:after="240" w:line="276" w:lineRule="auto"/>
      </w:pPr>
      <w:r>
        <w:rPr>
          <w:b/>
          <w:color w:val="4A148C"/>
          <w:sz w:val="19"/>
        </w:rPr>
        <w:t xml:space="preserve">Figure 1: </w:t>
      </w:r>
      <w:r>
        <w:rPr>
          <w:i/>
          <w:sz w:val="19"/>
        </w:rPr>
        <w:t xml:space="preserve"> Multi-scale computational workflow: GFN2-xTB quantum-chemical adsorption on pristine beta-12 borophene (B40H15), real AutoDock Vina docking against the cryo-EM Tau filament core (PDB 5O3L), and a leak-free cross-validated explainable Nano-QSAR surrogate.</w:t>
      </w:r>
    </w:p>
    <w:p>
      <w:pPr>
        <w:pStyle w:val="Heading1"/>
        <w:keepNext/>
        <w:spacing w:before="280" w:after="120"/>
      </w:pPr>
      <w:r>
        <w:rPr>
          <w:rFonts w:ascii="Times New Roman" w:hAnsi="Times New Roman"/>
          <w:b/>
          <w:color w:val="4A148C"/>
          <w:sz w:val="28"/>
        </w:rPr>
        <w:t>2. Computational and Experimental Section</w:t>
      </w:r>
    </w:p>
    <w:p>
      <w:r>
        <w:t>2.1 Quantum-chemical framework: Each isolated drug, the pristine beta-12 borophene cluster (B40H15), and every drug-borophene complex were geometry-optimized and evaluated at single point with GFN2-xTB (xtb v6.7.1) including the D4 dispersion correction [24,26]. The standardized single-point interaction energy is Delta_E_int,SP = E(complex) - E(borophene) - E(drug), both fragments taken at the complex geometry. Frontier-orbital energies and conceptual-DFT global reactivity indices (hardness eta = gap/2, softness, electronegativity, electrophilicity omega = mu^2/2eta) [36,37] were read directly from the xtb output; no descriptor is estimated from an empirical formula.</w:t>
      </w:r>
    </w:p>
    <w:p>
      <w:r>
        <w:t>2.2 Molecular docking: Docking used AutoDock Vina v1.2.7 [28,29] against the cryo-EM structure of the Alzheimer Tau filament core (PDB ID: 5O3L [7]), with ligands protonated at pH 7.4 and prepared with Meeko. Because the paired-helical-filament core is a cross-beta assembly rather than a globular pocket, the Vina scores are reported as a relative ranking of surface / cleft affinity rather than an absolute binding free energy.</w:t>
      </w:r>
    </w:p>
    <w:p>
      <w:r>
        <w:t>2.3 Surrogate model and applicability domain: A StandardScaler + RidgeCV model was trained inside a leak-free nested 5x5 cross-validation on the real observed data (four descriptors: MolWt, MolMR, E_HOMO, omega). Feature importance was inspected with an ExtraTrees estimator and SHAP [35] and is reported as exploratory only. The applicability domain follows OECD Principle 3 [31-33] via Williams hat-matrix leverage.</w:t>
      </w:r>
    </w:p>
    <w:p>
      <w:pPr>
        <w:spacing w:before="200" w:after="80"/>
        <w:jc w:val="center"/>
      </w:pPr>
      <w:r>
        <w:drawing>
          <wp:inline xmlns:a="http://schemas.openxmlformats.org/drawingml/2006/main" xmlns:pic="http://schemas.openxmlformats.org/drawingml/2006/picture">
            <wp:extent cx="5669280" cy="2859505"/>
            <wp:docPr id="3" name="Picture 3"/>
            <wp:cNvGraphicFramePr>
              <a:graphicFrameLocks noChangeAspect="1"/>
            </wp:cNvGraphicFramePr>
            <a:graphic>
              <a:graphicData uri="http://schemas.openxmlformats.org/drawingml/2006/picture">
                <pic:pic>
                  <pic:nvPicPr>
                    <pic:cNvPr id="0" name="fig2_tau_quantum_cdft_architecture.png"/>
                    <pic:cNvPicPr/>
                  </pic:nvPicPr>
                  <pic:blipFill>
                    <a:blip r:embed="rId11"/>
                    <a:stretch>
                      <a:fillRect/>
                    </a:stretch>
                  </pic:blipFill>
                  <pic:spPr>
                    <a:xfrm>
                      <a:off x="0" y="0"/>
                      <a:ext cx="5669280" cy="2859505"/>
                    </a:xfrm>
                    <a:prstGeom prst="rect"/>
                  </pic:spPr>
                </pic:pic>
              </a:graphicData>
            </a:graphic>
          </wp:inline>
        </w:drawing>
      </w:r>
    </w:p>
    <w:p>
      <w:pPr>
        <w:spacing w:after="240" w:line="276" w:lineRule="auto"/>
      </w:pPr>
      <w:r>
        <w:rPr>
          <w:b/>
          <w:color w:val="4A148C"/>
          <w:sz w:val="19"/>
        </w:rPr>
        <w:t xml:space="preserve">Figure 2: </w:t>
      </w:r>
      <w:r>
        <w:rPr>
          <w:i/>
          <w:sz w:val="19"/>
        </w:rPr>
        <w:t xml:space="preserve"> Real quantum conceptual-DFT electronic reactivity of the isolated Tau therapeutics (real GFN2-xTB single points, n=29): (a) HOMO/LUMO frontier-orbital distribution; (b) chemical hardness vs. electrophilicity index. No real complex-level frontier-orbital calculation exists for the borophene surface.</w:t>
      </w:r>
    </w:p>
    <w:p>
      <w:pPr>
        <w:pStyle w:val="Heading1"/>
        <w:keepNext/>
        <w:spacing w:before="280" w:after="120"/>
      </w:pPr>
      <w:r>
        <w:rPr>
          <w:rFonts w:ascii="Times New Roman" w:hAnsi="Times New Roman"/>
          <w:b/>
          <w:color w:val="4A148C"/>
          <w:sz w:val="28"/>
        </w:rPr>
        <w:t>3. Results and Discussion</w:t>
      </w:r>
    </w:p>
    <w:p>
      <w:pPr>
        <w:pStyle w:val="Heading2"/>
        <w:keepNext/>
        <w:spacing w:before="280" w:after="120"/>
      </w:pPr>
      <w:r>
        <w:rPr>
          <w:rFonts w:ascii="Times New Roman" w:hAnsi="Times New Roman"/>
          <w:b/>
          <w:color w:val="311B92"/>
          <w:sz w:val="24"/>
        </w:rPr>
        <w:t>3.1 Quantum interaction energies on pristine beta-12 borophene</w:t>
      </w:r>
    </w:p>
    <w:p>
      <w:r>
        <w:t>Real GFN2-xTB single-point interaction energies for the 26 non-anomalous therapeutics on the B40H15 cluster range from -0.9 to -13.8 kcal/mol (curcumin -7.8; EGCG -5.3 kcal/mol), consistent with dispersion-assisted physisorption of the drug pi-systems on the polarizable metallic boron lattice. Three cationic phenothiazine dyes (methylene blue, azure A, toluidine blue O) return large positive single-point energies (up to +190 kcal/mol): at the fixed complex geometry the rigid planar cation is forced into steric overlap with the lattice, so these points are physically meaningless and are excluded from the model and flagged out-of-domain rather than removed silently.</w:t>
      </w:r>
    </w:p>
    <w:p>
      <w:pPr>
        <w:pStyle w:val="Heading2"/>
        <w:keepNext/>
        <w:spacing w:before="280" w:after="120"/>
      </w:pPr>
      <w:r>
        <w:rPr>
          <w:rFonts w:ascii="Times New Roman" w:hAnsi="Times New Roman"/>
          <w:b/>
          <w:color w:val="311B92"/>
          <w:sz w:val="24"/>
        </w:rPr>
        <w:t>3.2 Docking against the cryo-EM Tau filament core</w:t>
      </w:r>
    </w:p>
    <w:p>
      <w:r>
        <w:t>AutoDock Vina scores against the Tau filament core (PDB 5O3L) span -3.79 to -6.83 kcal/mol (mean -5.17). The highest-ranked ligands are chrysamine G (-6.83), EGCG (-5.88), luteolin (-5.87), fisetin (-5.75) and donepezil (-5.75 kcal/mol); hydromethylthionine/LMTX scores -4.77 kcal/mol. The cross-beta assembly offers no deep pocket, so these values rank relative surface / cleft affinity rather than absolute binding free energy.</w:t>
      </w:r>
    </w:p>
    <w:p>
      <w:pPr>
        <w:spacing w:before="200" w:after="80"/>
        <w:jc w:val="center"/>
      </w:pPr>
      <w:r>
        <w:drawing>
          <wp:inline xmlns:a="http://schemas.openxmlformats.org/drawingml/2006/main" xmlns:pic="http://schemas.openxmlformats.org/drawingml/2006/picture">
            <wp:extent cx="5669280" cy="2605074"/>
            <wp:docPr id="4" name="Picture 4"/>
            <wp:cNvGraphicFramePr>
              <a:graphicFrameLocks noChangeAspect="1"/>
            </wp:cNvGraphicFramePr>
            <a:graphic>
              <a:graphicData uri="http://schemas.openxmlformats.org/drawingml/2006/picture">
                <pic:pic>
                  <pic:nvPicPr>
                    <pic:cNvPr id="0" name="fig3_tau_docking_vina_statistical_profiles.png"/>
                    <pic:cNvPicPr/>
                  </pic:nvPicPr>
                  <pic:blipFill>
                    <a:blip r:embed="rId12"/>
                    <a:stretch>
                      <a:fillRect/>
                    </a:stretch>
                  </pic:blipFill>
                  <pic:spPr>
                    <a:xfrm>
                      <a:off x="0" y="0"/>
                      <a:ext cx="5669280" cy="2605074"/>
                    </a:xfrm>
                    <a:prstGeom prst="rect"/>
                  </pic:spPr>
                </pic:pic>
              </a:graphicData>
            </a:graphic>
          </wp:inline>
        </w:drawing>
      </w:r>
    </w:p>
    <w:p>
      <w:pPr>
        <w:spacing w:after="240" w:line="276" w:lineRule="auto"/>
      </w:pPr>
      <w:r>
        <w:rPr>
          <w:b/>
          <w:color w:val="4A148C"/>
          <w:sz w:val="19"/>
        </w:rPr>
        <w:t xml:space="preserve">Figure 3: </w:t>
      </w:r>
      <w:r>
        <w:rPr>
          <w:i/>
          <w:sz w:val="19"/>
        </w:rPr>
        <w:t xml:space="preserve"> Molecular docking statistical profiles against the cryo-EM Tau filament core (PDB 5O3L): (a) distribution of real Vina scores; (b) ranking of the top-10 compounds (chrysamine G -6.83, EGCG -5.88 kcal/mol; hydromethylthionine/LMTX -4.77 kcal/mol).</w:t>
      </w:r>
    </w:p>
    <w:p>
      <w:pPr>
        <w:spacing w:before="200" w:after="80"/>
        <w:jc w:val="center"/>
      </w:pPr>
      <w:r>
        <w:drawing>
          <wp:inline xmlns:a="http://schemas.openxmlformats.org/drawingml/2006/main" xmlns:pic="http://schemas.openxmlformats.org/drawingml/2006/picture">
            <wp:extent cx="5669280" cy="3446200"/>
            <wp:docPr id="5" name="Picture 5"/>
            <wp:cNvGraphicFramePr>
              <a:graphicFrameLocks noChangeAspect="1"/>
            </wp:cNvGraphicFramePr>
            <a:graphic>
              <a:graphicData uri="http://schemas.openxmlformats.org/drawingml/2006/picture">
                <pic:pic>
                  <pic:nvPicPr>
                    <pic:cNvPr id="0" name="fig4_tau_residue_contact_frequency.png"/>
                    <pic:cNvPicPr/>
                  </pic:nvPicPr>
                  <pic:blipFill>
                    <a:blip r:embed="rId13"/>
                    <a:stretch>
                      <a:fillRect/>
                    </a:stretch>
                  </pic:blipFill>
                  <pic:spPr>
                    <a:xfrm>
                      <a:off x="0" y="0"/>
                      <a:ext cx="5669280" cy="3446200"/>
                    </a:xfrm>
                    <a:prstGeom prst="rect"/>
                  </pic:spPr>
                </pic:pic>
              </a:graphicData>
            </a:graphic>
          </wp:inline>
        </w:drawing>
      </w:r>
    </w:p>
    <w:p>
      <w:pPr>
        <w:spacing w:after="240" w:line="276" w:lineRule="auto"/>
      </w:pPr>
      <w:r>
        <w:rPr>
          <w:b/>
          <w:color w:val="4A148C"/>
          <w:sz w:val="19"/>
        </w:rPr>
        <w:t xml:space="preserve">Figure 4: </w:t>
      </w:r>
      <w:r>
        <w:rPr>
          <w:i/>
          <w:sz w:val="19"/>
        </w:rPr>
        <w:t xml:space="preserve"> Residue-level contact frequencies on the Tau filament core (real Vina poses, contact distance &lt;= 3.8 A): most frequent contacts are the cross-beta residues Gly335, Leu357, Gln336, Val337 and Pro332.</w:t>
      </w:r>
    </w:p>
    <w:p/>
    <w:p>
      <w:r>
        <w:rPr>
          <w:b/>
          <w:sz w:val="20"/>
        </w:rPr>
        <w:t>Table 1: Physicochemical, Topological, and Quantum CDFT Descriptors for Representative Alzheimer/Tau Therapeutics.</w:t>
      </w:r>
    </w:p>
    <w:tbl>
      <w:tblPr>
        <w:tblW w:type="auto" w:w="0"/>
        <w:jc w:val="center"/>
        <w:tblLook w:firstColumn="1" w:firstRow="1" w:lastColumn="0" w:lastRow="0" w:noHBand="0" w:noVBand="1" w:val="04A0"/>
      </w:tblPr>
      <w:tblGrid>
        <w:gridCol w:w="1337"/>
        <w:gridCol w:w="1337"/>
        <w:gridCol w:w="1337"/>
        <w:gridCol w:w="1337"/>
        <w:gridCol w:w="1337"/>
        <w:gridCol w:w="1337"/>
        <w:gridCol w:w="1337"/>
      </w:tblGrid>
      <w:tr>
        <w:tc>
          <w:tcPr>
            <w:tcW w:type="dxa" w:w="1337"/>
            <w:shd w:fill="4A148C"/>
            <w:tcMar>
              <w:top w:w="80" w:type="dxa"/>
              <w:bottom w:w="80" w:type="dxa"/>
              <w:left w:w="100" w:type="dxa"/>
              <w:right w:w="100" w:type="dxa"/>
            </w:tcMar>
          </w:tcPr>
          <w:p>
            <w:r>
              <w:rPr>
                <w:b/>
                <w:color w:val="FFFFFF"/>
                <w:sz w:val="18"/>
              </w:rPr>
              <w:t>Compound</w:t>
            </w:r>
          </w:p>
        </w:tc>
        <w:tc>
          <w:tcPr>
            <w:tcW w:type="dxa" w:w="1337"/>
            <w:shd w:fill="4A148C"/>
            <w:tcMar>
              <w:top w:w="80" w:type="dxa"/>
              <w:bottom w:w="80" w:type="dxa"/>
              <w:left w:w="100" w:type="dxa"/>
              <w:right w:w="100" w:type="dxa"/>
            </w:tcMar>
          </w:tcPr>
          <w:p>
            <w:r>
              <w:rPr>
                <w:b/>
                <w:color w:val="FFFFFF"/>
                <w:sz w:val="18"/>
              </w:rPr>
              <w:t>Class</w:t>
            </w:r>
          </w:p>
        </w:tc>
        <w:tc>
          <w:tcPr>
            <w:tcW w:type="dxa" w:w="1337"/>
            <w:shd w:fill="4A148C"/>
            <w:tcMar>
              <w:top w:w="80" w:type="dxa"/>
              <w:bottom w:w="80" w:type="dxa"/>
              <w:left w:w="100" w:type="dxa"/>
              <w:right w:w="100" w:type="dxa"/>
            </w:tcMar>
          </w:tcPr>
          <w:p>
            <w:r>
              <w:rPr>
                <w:b/>
                <w:color w:val="FFFFFF"/>
                <w:sz w:val="18"/>
              </w:rPr>
              <w:t>MW (g/mol)</w:t>
            </w:r>
          </w:p>
        </w:tc>
        <w:tc>
          <w:tcPr>
            <w:tcW w:type="dxa" w:w="1337"/>
            <w:shd w:fill="4A148C"/>
            <w:tcMar>
              <w:top w:w="80" w:type="dxa"/>
              <w:bottom w:w="80" w:type="dxa"/>
              <w:left w:w="100" w:type="dxa"/>
              <w:right w:w="100" w:type="dxa"/>
            </w:tcMar>
          </w:tcPr>
          <w:p>
            <w:r>
              <w:rPr>
                <w:b/>
                <w:color w:val="FFFFFF"/>
                <w:sz w:val="18"/>
              </w:rPr>
              <w:t>LogP</w:t>
            </w:r>
          </w:p>
        </w:tc>
        <w:tc>
          <w:tcPr>
            <w:tcW w:type="dxa" w:w="1337"/>
            <w:shd w:fill="4A148C"/>
            <w:tcMar>
              <w:top w:w="80" w:type="dxa"/>
              <w:bottom w:w="80" w:type="dxa"/>
              <w:left w:w="100" w:type="dxa"/>
              <w:right w:w="100" w:type="dxa"/>
            </w:tcMar>
          </w:tcPr>
          <w:p>
            <w:r>
              <w:rPr>
                <w:b/>
                <w:color w:val="FFFFFF"/>
                <w:sz w:val="18"/>
              </w:rPr>
              <w:t>PSA (Å²)</w:t>
            </w:r>
          </w:p>
        </w:tc>
        <w:tc>
          <w:tcPr>
            <w:tcW w:type="dxa" w:w="1337"/>
            <w:shd w:fill="4A148C"/>
            <w:tcMar>
              <w:top w:w="80" w:type="dxa"/>
              <w:bottom w:w="80" w:type="dxa"/>
              <w:left w:w="100" w:type="dxa"/>
              <w:right w:w="100" w:type="dxa"/>
            </w:tcMar>
          </w:tcPr>
          <w:p>
            <w:r>
              <w:rPr>
                <w:b/>
                <w:color w:val="FFFFFF"/>
                <w:sz w:val="18"/>
              </w:rPr>
              <w:t>E_HOMO (eV)</w:t>
            </w:r>
          </w:p>
        </w:tc>
        <w:tc>
          <w:tcPr>
            <w:tcW w:type="dxa" w:w="1337"/>
            <w:shd w:fill="4A148C"/>
            <w:tcMar>
              <w:top w:w="80" w:type="dxa"/>
              <w:bottom w:w="80" w:type="dxa"/>
              <w:left w:w="100" w:type="dxa"/>
              <w:right w:w="100" w:type="dxa"/>
            </w:tcMar>
          </w:tcPr>
          <w:p>
            <w:r>
              <w:rPr>
                <w:b/>
                <w:color w:val="FFFFFF"/>
                <w:sz w:val="18"/>
              </w:rPr>
              <w:t>omega (eV)</w:t>
            </w:r>
          </w:p>
        </w:tc>
      </w:tr>
      <w:tr>
        <w:tc>
          <w:tcPr>
            <w:tcW w:type="dxa" w:w="1337"/>
            <w:tcMar>
              <w:top w:w="60" w:type="dxa"/>
              <w:bottom w:w="60" w:type="dxa"/>
              <w:left w:w="80" w:type="dxa"/>
              <w:right w:w="80" w:type="dxa"/>
            </w:tcMar>
          </w:tcPr>
          <w:p>
            <w:r>
              <w:rPr>
                <w:sz w:val="17"/>
              </w:rPr>
              <w:t>Hydromethylthionine</w:t>
            </w:r>
          </w:p>
        </w:tc>
        <w:tc>
          <w:tcPr>
            <w:tcW w:type="dxa" w:w="1337"/>
            <w:tcMar>
              <w:top w:w="60" w:type="dxa"/>
              <w:bottom w:w="60" w:type="dxa"/>
              <w:left w:w="80" w:type="dxa"/>
              <w:right w:w="80" w:type="dxa"/>
            </w:tcMar>
          </w:tcPr>
          <w:p>
            <w:r>
              <w:rPr>
                <w:sz w:val="17"/>
              </w:rPr>
              <w:t>Direct Tau Aggregation</w:t>
            </w:r>
          </w:p>
        </w:tc>
        <w:tc>
          <w:tcPr>
            <w:tcW w:type="dxa" w:w="1337"/>
            <w:tcMar>
              <w:top w:w="60" w:type="dxa"/>
              <w:bottom w:w="60" w:type="dxa"/>
              <w:left w:w="80" w:type="dxa"/>
              <w:right w:w="80" w:type="dxa"/>
            </w:tcMar>
          </w:tcPr>
          <w:p>
            <w:r>
              <w:rPr>
                <w:sz w:val="17"/>
              </w:rPr>
              <w:t>270.4</w:t>
            </w:r>
          </w:p>
        </w:tc>
        <w:tc>
          <w:tcPr>
            <w:tcW w:type="dxa" w:w="1337"/>
            <w:tcMar>
              <w:top w:w="60" w:type="dxa"/>
              <w:bottom w:w="60" w:type="dxa"/>
              <w:left w:w="80" w:type="dxa"/>
              <w:right w:w="80" w:type="dxa"/>
            </w:tcMar>
          </w:tcPr>
          <w:p>
            <w:r>
              <w:rPr>
                <w:sz w:val="17"/>
              </w:rPr>
              <w:t>4.19</w:t>
            </w:r>
          </w:p>
        </w:tc>
        <w:tc>
          <w:tcPr>
            <w:tcW w:type="dxa" w:w="1337"/>
            <w:tcMar>
              <w:top w:w="60" w:type="dxa"/>
              <w:bottom w:w="60" w:type="dxa"/>
              <w:left w:w="80" w:type="dxa"/>
              <w:right w:w="80" w:type="dxa"/>
            </w:tcMar>
          </w:tcPr>
          <w:p>
            <w:r>
              <w:rPr>
                <w:sz w:val="17"/>
              </w:rPr>
              <w:t>6.5</w:t>
            </w:r>
          </w:p>
        </w:tc>
        <w:tc>
          <w:tcPr>
            <w:tcW w:type="dxa" w:w="1337"/>
            <w:tcMar>
              <w:top w:w="60" w:type="dxa"/>
              <w:bottom w:w="60" w:type="dxa"/>
              <w:left w:w="80" w:type="dxa"/>
              <w:right w:w="80" w:type="dxa"/>
            </w:tcMar>
          </w:tcPr>
          <w:p>
            <w:r>
              <w:rPr>
                <w:sz w:val="17"/>
              </w:rPr>
              <w:t>-8.49</w:t>
            </w:r>
          </w:p>
        </w:tc>
        <w:tc>
          <w:tcPr>
            <w:tcW w:type="dxa" w:w="1337"/>
            <w:tcMar>
              <w:top w:w="60" w:type="dxa"/>
              <w:bottom w:w="60" w:type="dxa"/>
              <w:left w:w="80" w:type="dxa"/>
              <w:right w:w="80" w:type="dxa"/>
            </w:tcMar>
          </w:tcPr>
          <w:p>
            <w:r>
              <w:rPr>
                <w:sz w:val="17"/>
              </w:rPr>
              <w:t>21.37</w:t>
            </w:r>
          </w:p>
        </w:tc>
      </w:tr>
      <w:tr>
        <w:tc>
          <w:tcPr>
            <w:tcW w:type="dxa" w:w="1337"/>
            <w:tcMar>
              <w:top w:w="60" w:type="dxa"/>
              <w:bottom w:w="60" w:type="dxa"/>
              <w:left w:w="80" w:type="dxa"/>
              <w:right w:w="80" w:type="dxa"/>
            </w:tcMar>
          </w:tcPr>
          <w:p>
            <w:r>
              <w:rPr>
                <w:sz w:val="17"/>
              </w:rPr>
              <w:t>Curcumin</w:t>
            </w:r>
          </w:p>
        </w:tc>
        <w:tc>
          <w:tcPr>
            <w:tcW w:type="dxa" w:w="1337"/>
            <w:tcMar>
              <w:top w:w="60" w:type="dxa"/>
              <w:bottom w:w="60" w:type="dxa"/>
              <w:left w:w="80" w:type="dxa"/>
              <w:right w:w="80" w:type="dxa"/>
            </w:tcMar>
          </w:tcPr>
          <w:p>
            <w:r>
              <w:rPr>
                <w:sz w:val="17"/>
              </w:rPr>
              <w:t>Beta-Sheet Intercalato</w:t>
            </w:r>
          </w:p>
        </w:tc>
        <w:tc>
          <w:tcPr>
            <w:tcW w:type="dxa" w:w="1337"/>
            <w:tcMar>
              <w:top w:w="60" w:type="dxa"/>
              <w:bottom w:w="60" w:type="dxa"/>
              <w:left w:w="80" w:type="dxa"/>
              <w:right w:w="80" w:type="dxa"/>
            </w:tcMar>
          </w:tcPr>
          <w:p>
            <w:r>
              <w:rPr>
                <w:sz w:val="17"/>
              </w:rPr>
              <w:t>368.4</w:t>
            </w:r>
          </w:p>
        </w:tc>
        <w:tc>
          <w:tcPr>
            <w:tcW w:type="dxa" w:w="1337"/>
            <w:tcMar>
              <w:top w:w="60" w:type="dxa"/>
              <w:bottom w:w="60" w:type="dxa"/>
              <w:left w:w="80" w:type="dxa"/>
              <w:right w:w="80" w:type="dxa"/>
            </w:tcMar>
          </w:tcPr>
          <w:p>
            <w:r>
              <w:rPr>
                <w:sz w:val="17"/>
              </w:rPr>
              <w:t>3.37</w:t>
            </w:r>
          </w:p>
        </w:tc>
        <w:tc>
          <w:tcPr>
            <w:tcW w:type="dxa" w:w="1337"/>
            <w:tcMar>
              <w:top w:w="60" w:type="dxa"/>
              <w:bottom w:w="60" w:type="dxa"/>
              <w:left w:w="80" w:type="dxa"/>
              <w:right w:w="80" w:type="dxa"/>
            </w:tcMar>
          </w:tcPr>
          <w:p>
            <w:r>
              <w:rPr>
                <w:sz w:val="17"/>
              </w:rPr>
              <w:t>93.1</w:t>
            </w:r>
          </w:p>
        </w:tc>
        <w:tc>
          <w:tcPr>
            <w:tcW w:type="dxa" w:w="1337"/>
            <w:tcMar>
              <w:top w:w="60" w:type="dxa"/>
              <w:bottom w:w="60" w:type="dxa"/>
              <w:left w:w="80" w:type="dxa"/>
              <w:right w:w="80" w:type="dxa"/>
            </w:tcMar>
          </w:tcPr>
          <w:p>
            <w:r>
              <w:rPr>
                <w:sz w:val="17"/>
              </w:rPr>
              <w:t>-10.20</w:t>
            </w:r>
          </w:p>
        </w:tc>
        <w:tc>
          <w:tcPr>
            <w:tcW w:type="dxa" w:w="1337"/>
            <w:tcMar>
              <w:top w:w="60" w:type="dxa"/>
              <w:bottom w:w="60" w:type="dxa"/>
              <w:left w:w="80" w:type="dxa"/>
              <w:right w:w="80" w:type="dxa"/>
            </w:tcMar>
          </w:tcPr>
          <w:p>
            <w:r>
              <w:rPr>
                <w:sz w:val="17"/>
              </w:rPr>
              <w:t>38.08</w:t>
            </w:r>
          </w:p>
        </w:tc>
      </w:tr>
      <w:tr>
        <w:tc>
          <w:tcPr>
            <w:tcW w:type="dxa" w:w="1337"/>
            <w:tcMar>
              <w:top w:w="60" w:type="dxa"/>
              <w:bottom w:w="60" w:type="dxa"/>
              <w:left w:w="80" w:type="dxa"/>
              <w:right w:w="80" w:type="dxa"/>
            </w:tcMar>
          </w:tcPr>
          <w:p>
            <w:r>
              <w:rPr>
                <w:sz w:val="17"/>
              </w:rPr>
              <w:t>EGCG</w:t>
            </w:r>
          </w:p>
        </w:tc>
        <w:tc>
          <w:tcPr>
            <w:tcW w:type="dxa" w:w="1337"/>
            <w:tcMar>
              <w:top w:w="60" w:type="dxa"/>
              <w:bottom w:w="60" w:type="dxa"/>
              <w:left w:w="80" w:type="dxa"/>
              <w:right w:w="80" w:type="dxa"/>
            </w:tcMar>
          </w:tcPr>
          <w:p>
            <w:r>
              <w:rPr>
                <w:sz w:val="17"/>
              </w:rPr>
              <w:t>Polyphenolic Fibril Re</w:t>
            </w:r>
          </w:p>
        </w:tc>
        <w:tc>
          <w:tcPr>
            <w:tcW w:type="dxa" w:w="1337"/>
            <w:tcMar>
              <w:top w:w="60" w:type="dxa"/>
              <w:bottom w:w="60" w:type="dxa"/>
              <w:left w:w="80" w:type="dxa"/>
              <w:right w:w="80" w:type="dxa"/>
            </w:tcMar>
          </w:tcPr>
          <w:p>
            <w:r>
              <w:rPr>
                <w:sz w:val="17"/>
              </w:rPr>
              <w:t>442.4</w:t>
            </w:r>
          </w:p>
        </w:tc>
        <w:tc>
          <w:tcPr>
            <w:tcW w:type="dxa" w:w="1337"/>
            <w:tcMar>
              <w:top w:w="60" w:type="dxa"/>
              <w:bottom w:w="60" w:type="dxa"/>
              <w:left w:w="80" w:type="dxa"/>
              <w:right w:w="80" w:type="dxa"/>
            </w:tcMar>
          </w:tcPr>
          <w:p>
            <w:r>
              <w:rPr>
                <w:sz w:val="17"/>
              </w:rPr>
              <w:t>2.52</w:t>
            </w:r>
          </w:p>
        </w:tc>
        <w:tc>
          <w:tcPr>
            <w:tcW w:type="dxa" w:w="1337"/>
            <w:tcMar>
              <w:top w:w="60" w:type="dxa"/>
              <w:bottom w:w="60" w:type="dxa"/>
              <w:left w:w="80" w:type="dxa"/>
              <w:right w:w="80" w:type="dxa"/>
            </w:tcMar>
          </w:tcPr>
          <w:p>
            <w:r>
              <w:rPr>
                <w:sz w:val="17"/>
              </w:rPr>
              <w:t>177.1</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25.45</w:t>
            </w:r>
          </w:p>
        </w:tc>
      </w:tr>
      <w:tr>
        <w:tc>
          <w:tcPr>
            <w:tcW w:type="dxa" w:w="1337"/>
            <w:tcMar>
              <w:top w:w="60" w:type="dxa"/>
              <w:bottom w:w="60" w:type="dxa"/>
              <w:left w:w="80" w:type="dxa"/>
              <w:right w:w="80" w:type="dxa"/>
            </w:tcMar>
          </w:tcPr>
          <w:p>
            <w:r>
              <w:rPr>
                <w:sz w:val="17"/>
              </w:rPr>
              <w:t>Resveratrol</w:t>
            </w:r>
          </w:p>
        </w:tc>
        <w:tc>
          <w:tcPr>
            <w:tcW w:type="dxa" w:w="1337"/>
            <w:tcMar>
              <w:top w:w="60" w:type="dxa"/>
              <w:bottom w:w="60" w:type="dxa"/>
              <w:left w:w="80" w:type="dxa"/>
              <w:right w:w="80" w:type="dxa"/>
            </w:tcMar>
          </w:tcPr>
          <w:p>
            <w:r>
              <w:rPr>
                <w:sz w:val="17"/>
              </w:rPr>
              <w:t xml:space="preserve">SIRT1 Activator &amp; Tau </w:t>
            </w:r>
          </w:p>
        </w:tc>
        <w:tc>
          <w:tcPr>
            <w:tcW w:type="dxa" w:w="1337"/>
            <w:tcMar>
              <w:top w:w="60" w:type="dxa"/>
              <w:bottom w:w="60" w:type="dxa"/>
              <w:left w:w="80" w:type="dxa"/>
              <w:right w:w="80" w:type="dxa"/>
            </w:tcMar>
          </w:tcPr>
          <w:p>
            <w:r>
              <w:rPr>
                <w:sz w:val="17"/>
              </w:rPr>
              <w:t>228.2</w:t>
            </w:r>
          </w:p>
        </w:tc>
        <w:tc>
          <w:tcPr>
            <w:tcW w:type="dxa" w:w="1337"/>
            <w:tcMar>
              <w:top w:w="60" w:type="dxa"/>
              <w:bottom w:w="60" w:type="dxa"/>
              <w:left w:w="80" w:type="dxa"/>
              <w:right w:w="80" w:type="dxa"/>
            </w:tcMar>
          </w:tcPr>
          <w:p>
            <w:r>
              <w:rPr>
                <w:sz w:val="17"/>
              </w:rPr>
              <w:t>2.97</w:t>
            </w:r>
          </w:p>
        </w:tc>
        <w:tc>
          <w:tcPr>
            <w:tcW w:type="dxa" w:w="1337"/>
            <w:tcMar>
              <w:top w:w="60" w:type="dxa"/>
              <w:bottom w:w="60" w:type="dxa"/>
              <w:left w:w="80" w:type="dxa"/>
              <w:right w:w="80" w:type="dxa"/>
            </w:tcMar>
          </w:tcPr>
          <w:p>
            <w:r>
              <w:rPr>
                <w:sz w:val="17"/>
              </w:rPr>
              <w:t>60.7</w:t>
            </w:r>
          </w:p>
        </w:tc>
        <w:tc>
          <w:tcPr>
            <w:tcW w:type="dxa" w:w="1337"/>
            <w:tcMar>
              <w:top w:w="60" w:type="dxa"/>
              <w:bottom w:w="60" w:type="dxa"/>
              <w:left w:w="80" w:type="dxa"/>
              <w:right w:w="80" w:type="dxa"/>
            </w:tcMar>
          </w:tcPr>
          <w:p>
            <w:r>
              <w:rPr>
                <w:sz w:val="17"/>
              </w:rPr>
              <w:t>-10.04</w:t>
            </w:r>
          </w:p>
        </w:tc>
        <w:tc>
          <w:tcPr>
            <w:tcW w:type="dxa" w:w="1337"/>
            <w:tcMar>
              <w:top w:w="60" w:type="dxa"/>
              <w:bottom w:w="60" w:type="dxa"/>
              <w:left w:w="80" w:type="dxa"/>
              <w:right w:w="80" w:type="dxa"/>
            </w:tcMar>
          </w:tcPr>
          <w:p>
            <w:r>
              <w:rPr>
                <w:sz w:val="17"/>
              </w:rPr>
              <w:t>22.70</w:t>
            </w:r>
          </w:p>
        </w:tc>
      </w:tr>
      <w:tr>
        <w:tc>
          <w:tcPr>
            <w:tcW w:type="dxa" w:w="1337"/>
            <w:tcMar>
              <w:top w:w="60" w:type="dxa"/>
              <w:bottom w:w="60" w:type="dxa"/>
              <w:left w:w="80" w:type="dxa"/>
              <w:right w:w="80" w:type="dxa"/>
            </w:tcMar>
          </w:tcPr>
          <w:p>
            <w:r>
              <w:rPr>
                <w:sz w:val="17"/>
              </w:rPr>
              <w:t>Baicalein</w:t>
            </w:r>
          </w:p>
        </w:tc>
        <w:tc>
          <w:tcPr>
            <w:tcW w:type="dxa" w:w="1337"/>
            <w:tcMar>
              <w:top w:w="60" w:type="dxa"/>
              <w:bottom w:w="60" w:type="dxa"/>
              <w:left w:w="80" w:type="dxa"/>
              <w:right w:w="80" w:type="dxa"/>
            </w:tcMar>
          </w:tcPr>
          <w:p>
            <w:r>
              <w:rPr>
                <w:sz w:val="17"/>
              </w:rPr>
              <w:t>Flavonoid Tau Oligomer</w:t>
            </w:r>
          </w:p>
        </w:tc>
        <w:tc>
          <w:tcPr>
            <w:tcW w:type="dxa" w:w="1337"/>
            <w:tcMar>
              <w:top w:w="60" w:type="dxa"/>
              <w:bottom w:w="60" w:type="dxa"/>
              <w:left w:w="80" w:type="dxa"/>
              <w:right w:w="80" w:type="dxa"/>
            </w:tcMar>
          </w:tcPr>
          <w:p>
            <w:r>
              <w:rPr>
                <w:sz w:val="17"/>
              </w:rPr>
              <w:t>270.2</w:t>
            </w:r>
          </w:p>
        </w:tc>
        <w:tc>
          <w:tcPr>
            <w:tcW w:type="dxa" w:w="1337"/>
            <w:tcMar>
              <w:top w:w="60" w:type="dxa"/>
              <w:bottom w:w="60" w:type="dxa"/>
              <w:left w:w="80" w:type="dxa"/>
              <w:right w:w="80" w:type="dxa"/>
            </w:tcMar>
          </w:tcPr>
          <w:p>
            <w:r>
              <w:rPr>
                <w:sz w:val="17"/>
              </w:rPr>
              <w:t>2.58</w:t>
            </w:r>
          </w:p>
        </w:tc>
        <w:tc>
          <w:tcPr>
            <w:tcW w:type="dxa" w:w="1337"/>
            <w:tcMar>
              <w:top w:w="60" w:type="dxa"/>
              <w:bottom w:w="60" w:type="dxa"/>
              <w:left w:w="80" w:type="dxa"/>
              <w:right w:w="80" w:type="dxa"/>
            </w:tcMar>
          </w:tcPr>
          <w:p>
            <w:r>
              <w:rPr>
                <w:sz w:val="17"/>
              </w:rPr>
              <w:t>90.9</w:t>
            </w:r>
          </w:p>
        </w:tc>
        <w:tc>
          <w:tcPr>
            <w:tcW w:type="dxa" w:w="1337"/>
            <w:tcMar>
              <w:top w:w="60" w:type="dxa"/>
              <w:bottom w:w="60" w:type="dxa"/>
              <w:left w:w="80" w:type="dxa"/>
              <w:right w:w="80" w:type="dxa"/>
            </w:tcMar>
          </w:tcPr>
          <w:p>
            <w:r>
              <w:rPr>
                <w:sz w:val="17"/>
              </w:rPr>
              <w:t>-10.31</w:t>
            </w:r>
          </w:p>
        </w:tc>
        <w:tc>
          <w:tcPr>
            <w:tcW w:type="dxa" w:w="1337"/>
            <w:tcMar>
              <w:top w:w="60" w:type="dxa"/>
              <w:bottom w:w="60" w:type="dxa"/>
              <w:left w:w="80" w:type="dxa"/>
              <w:right w:w="80" w:type="dxa"/>
            </w:tcMar>
          </w:tcPr>
          <w:p>
            <w:r>
              <w:rPr>
                <w:sz w:val="17"/>
              </w:rPr>
              <w:t>33.53</w:t>
            </w:r>
          </w:p>
        </w:tc>
      </w:tr>
      <w:tr>
        <w:tc>
          <w:tcPr>
            <w:tcW w:type="dxa" w:w="1337"/>
            <w:tcMar>
              <w:top w:w="60" w:type="dxa"/>
              <w:bottom w:w="60" w:type="dxa"/>
              <w:left w:w="80" w:type="dxa"/>
              <w:right w:w="80" w:type="dxa"/>
            </w:tcMar>
          </w:tcPr>
          <w:p>
            <w:r>
              <w:rPr>
                <w:sz w:val="17"/>
              </w:rPr>
              <w:t>Myricetin</w:t>
            </w:r>
          </w:p>
        </w:tc>
        <w:tc>
          <w:tcPr>
            <w:tcW w:type="dxa" w:w="1337"/>
            <w:tcMar>
              <w:top w:w="60" w:type="dxa"/>
              <w:bottom w:w="60" w:type="dxa"/>
              <w:left w:w="80" w:type="dxa"/>
              <w:right w:w="80" w:type="dxa"/>
            </w:tcMar>
          </w:tcPr>
          <w:p>
            <w:r>
              <w:rPr>
                <w:sz w:val="17"/>
              </w:rPr>
              <w:t>Flavonoid Tau Assembly</w:t>
            </w:r>
          </w:p>
        </w:tc>
        <w:tc>
          <w:tcPr>
            <w:tcW w:type="dxa" w:w="1337"/>
            <w:tcMar>
              <w:top w:w="60" w:type="dxa"/>
              <w:bottom w:w="60" w:type="dxa"/>
              <w:left w:w="80" w:type="dxa"/>
              <w:right w:w="80" w:type="dxa"/>
            </w:tcMar>
          </w:tcPr>
          <w:p>
            <w:r>
              <w:rPr>
                <w:sz w:val="17"/>
              </w:rPr>
              <w:t>318.2</w:t>
            </w:r>
          </w:p>
        </w:tc>
        <w:tc>
          <w:tcPr>
            <w:tcW w:type="dxa" w:w="1337"/>
            <w:tcMar>
              <w:top w:w="60" w:type="dxa"/>
              <w:bottom w:w="60" w:type="dxa"/>
              <w:left w:w="80" w:type="dxa"/>
              <w:right w:w="80" w:type="dxa"/>
            </w:tcMar>
          </w:tcPr>
          <w:p>
            <w:r>
              <w:rPr>
                <w:sz w:val="17"/>
              </w:rPr>
              <w:t>1.69</w:t>
            </w:r>
          </w:p>
        </w:tc>
        <w:tc>
          <w:tcPr>
            <w:tcW w:type="dxa" w:w="1337"/>
            <w:tcMar>
              <w:top w:w="60" w:type="dxa"/>
              <w:bottom w:w="60" w:type="dxa"/>
              <w:left w:w="80" w:type="dxa"/>
              <w:right w:w="80" w:type="dxa"/>
            </w:tcMar>
          </w:tcPr>
          <w:p>
            <w:r>
              <w:rPr>
                <w:sz w:val="17"/>
              </w:rPr>
              <w:t>151.6</w:t>
            </w:r>
          </w:p>
        </w:tc>
        <w:tc>
          <w:tcPr>
            <w:tcW w:type="dxa" w:w="1337"/>
            <w:tcMar>
              <w:top w:w="60" w:type="dxa"/>
              <w:bottom w:w="60" w:type="dxa"/>
              <w:left w:w="80" w:type="dxa"/>
              <w:right w:w="80" w:type="dxa"/>
            </w:tcMar>
          </w:tcPr>
          <w:p>
            <w:r>
              <w:rPr>
                <w:sz w:val="17"/>
              </w:rPr>
              <w:t>-10.37</w:t>
            </w:r>
          </w:p>
        </w:tc>
        <w:tc>
          <w:tcPr>
            <w:tcW w:type="dxa" w:w="1337"/>
            <w:tcMar>
              <w:top w:w="60" w:type="dxa"/>
              <w:bottom w:w="60" w:type="dxa"/>
              <w:left w:w="80" w:type="dxa"/>
              <w:right w:w="80" w:type="dxa"/>
            </w:tcMar>
          </w:tcPr>
          <w:p>
            <w:r>
              <w:rPr>
                <w:sz w:val="17"/>
              </w:rPr>
              <w:t>33.37</w:t>
            </w:r>
          </w:p>
        </w:tc>
      </w:tr>
      <w:tr>
        <w:tc>
          <w:tcPr>
            <w:tcW w:type="dxa" w:w="1337"/>
            <w:tcMar>
              <w:top w:w="60" w:type="dxa"/>
              <w:bottom w:w="60" w:type="dxa"/>
              <w:left w:w="80" w:type="dxa"/>
              <w:right w:w="80" w:type="dxa"/>
            </w:tcMar>
          </w:tcPr>
          <w:p>
            <w:r>
              <w:rPr>
                <w:sz w:val="17"/>
              </w:rPr>
              <w:t>Quercetin</w:t>
            </w:r>
          </w:p>
        </w:tc>
        <w:tc>
          <w:tcPr>
            <w:tcW w:type="dxa" w:w="1337"/>
            <w:tcMar>
              <w:top w:w="60" w:type="dxa"/>
              <w:bottom w:w="60" w:type="dxa"/>
              <w:left w:w="80" w:type="dxa"/>
              <w:right w:w="80" w:type="dxa"/>
            </w:tcMar>
          </w:tcPr>
          <w:p>
            <w:r>
              <w:rPr>
                <w:sz w:val="17"/>
              </w:rPr>
              <w:t>Flavonoid Neuroprotect</w:t>
            </w:r>
          </w:p>
        </w:tc>
        <w:tc>
          <w:tcPr>
            <w:tcW w:type="dxa" w:w="1337"/>
            <w:tcMar>
              <w:top w:w="60" w:type="dxa"/>
              <w:bottom w:w="60" w:type="dxa"/>
              <w:left w:w="80" w:type="dxa"/>
              <w:right w:w="80" w:type="dxa"/>
            </w:tcMar>
          </w:tcPr>
          <w:p>
            <w:r>
              <w:rPr>
                <w:sz w:val="17"/>
              </w:rPr>
              <w:t>302.2</w:t>
            </w:r>
          </w:p>
        </w:tc>
        <w:tc>
          <w:tcPr>
            <w:tcW w:type="dxa" w:w="1337"/>
            <w:tcMar>
              <w:top w:w="60" w:type="dxa"/>
              <w:bottom w:w="60" w:type="dxa"/>
              <w:left w:w="80" w:type="dxa"/>
              <w:right w:w="80" w:type="dxa"/>
            </w:tcMar>
          </w:tcPr>
          <w:p>
            <w:r>
              <w:rPr>
                <w:sz w:val="17"/>
              </w:rPr>
              <w:t>1.99</w:t>
            </w:r>
          </w:p>
        </w:tc>
        <w:tc>
          <w:tcPr>
            <w:tcW w:type="dxa" w:w="1337"/>
            <w:tcMar>
              <w:top w:w="60" w:type="dxa"/>
              <w:bottom w:w="60" w:type="dxa"/>
              <w:left w:w="80" w:type="dxa"/>
              <w:right w:w="80" w:type="dxa"/>
            </w:tcMar>
          </w:tcPr>
          <w:p>
            <w:r>
              <w:rPr>
                <w:sz w:val="17"/>
              </w:rPr>
              <w:t>131.4</w:t>
            </w:r>
          </w:p>
        </w:tc>
        <w:tc>
          <w:tcPr>
            <w:tcW w:type="dxa" w:w="1337"/>
            <w:tcMar>
              <w:top w:w="60" w:type="dxa"/>
              <w:bottom w:w="60" w:type="dxa"/>
              <w:left w:w="80" w:type="dxa"/>
              <w:right w:w="80" w:type="dxa"/>
            </w:tcMar>
          </w:tcPr>
          <w:p>
            <w:r>
              <w:rPr>
                <w:sz w:val="17"/>
              </w:rPr>
              <w:t>-10.33</w:t>
            </w:r>
          </w:p>
        </w:tc>
        <w:tc>
          <w:tcPr>
            <w:tcW w:type="dxa" w:w="1337"/>
            <w:tcMar>
              <w:top w:w="60" w:type="dxa"/>
              <w:bottom w:w="60" w:type="dxa"/>
              <w:left w:w="80" w:type="dxa"/>
              <w:right w:w="80" w:type="dxa"/>
            </w:tcMar>
          </w:tcPr>
          <w:p>
            <w:r>
              <w:rPr>
                <w:sz w:val="17"/>
              </w:rPr>
              <w:t>32.64</w:t>
            </w:r>
          </w:p>
        </w:tc>
      </w:tr>
      <w:tr>
        <w:tc>
          <w:tcPr>
            <w:tcW w:type="dxa" w:w="1337"/>
            <w:tcMar>
              <w:top w:w="60" w:type="dxa"/>
              <w:bottom w:w="60" w:type="dxa"/>
              <w:left w:w="80" w:type="dxa"/>
              <w:right w:w="80" w:type="dxa"/>
            </w:tcMar>
          </w:tcPr>
          <w:p>
            <w:r>
              <w:rPr>
                <w:sz w:val="17"/>
              </w:rPr>
              <w:t>Fisetin</w:t>
            </w:r>
          </w:p>
        </w:tc>
        <w:tc>
          <w:tcPr>
            <w:tcW w:type="dxa" w:w="1337"/>
            <w:tcMar>
              <w:top w:w="60" w:type="dxa"/>
              <w:bottom w:w="60" w:type="dxa"/>
              <w:left w:w="80" w:type="dxa"/>
              <w:right w:w="80" w:type="dxa"/>
            </w:tcMar>
          </w:tcPr>
          <w:p>
            <w:r>
              <w:rPr>
                <w:sz w:val="17"/>
              </w:rPr>
              <w:t>Senolytic &amp; Tau Disagg</w:t>
            </w:r>
          </w:p>
        </w:tc>
        <w:tc>
          <w:tcPr>
            <w:tcW w:type="dxa" w:w="1337"/>
            <w:tcMar>
              <w:top w:w="60" w:type="dxa"/>
              <w:bottom w:w="60" w:type="dxa"/>
              <w:left w:w="80" w:type="dxa"/>
              <w:right w:w="80" w:type="dxa"/>
            </w:tcMar>
          </w:tcPr>
          <w:p>
            <w:r>
              <w:rPr>
                <w:sz w:val="17"/>
              </w:rPr>
              <w:t>286.2</w:t>
            </w:r>
          </w:p>
        </w:tc>
        <w:tc>
          <w:tcPr>
            <w:tcW w:type="dxa" w:w="1337"/>
            <w:tcMar>
              <w:top w:w="60" w:type="dxa"/>
              <w:bottom w:w="60" w:type="dxa"/>
              <w:left w:w="80" w:type="dxa"/>
              <w:right w:w="80" w:type="dxa"/>
            </w:tcMar>
          </w:tcPr>
          <w:p>
            <w:r>
              <w:rPr>
                <w:sz w:val="17"/>
              </w:rPr>
              <w:t>2.28</w:t>
            </w:r>
          </w:p>
        </w:tc>
        <w:tc>
          <w:tcPr>
            <w:tcW w:type="dxa" w:w="1337"/>
            <w:tcMar>
              <w:top w:w="60" w:type="dxa"/>
              <w:bottom w:w="60" w:type="dxa"/>
              <w:left w:w="80" w:type="dxa"/>
              <w:right w:w="80" w:type="dxa"/>
            </w:tcMar>
          </w:tcPr>
          <w:p>
            <w:r>
              <w:rPr>
                <w:sz w:val="17"/>
              </w:rPr>
              <w:t>111.1</w:t>
            </w:r>
          </w:p>
        </w:tc>
        <w:tc>
          <w:tcPr>
            <w:tcW w:type="dxa" w:w="1337"/>
            <w:tcMar>
              <w:top w:w="60" w:type="dxa"/>
              <w:bottom w:w="60" w:type="dxa"/>
              <w:left w:w="80" w:type="dxa"/>
              <w:right w:w="80" w:type="dxa"/>
            </w:tcMar>
          </w:tcPr>
          <w:p>
            <w:r>
              <w:rPr>
                <w:sz w:val="17"/>
              </w:rPr>
              <w:t>-10.27</w:t>
            </w:r>
          </w:p>
        </w:tc>
        <w:tc>
          <w:tcPr>
            <w:tcW w:type="dxa" w:w="1337"/>
            <w:tcMar>
              <w:top w:w="60" w:type="dxa"/>
              <w:bottom w:w="60" w:type="dxa"/>
              <w:left w:w="80" w:type="dxa"/>
              <w:right w:w="80" w:type="dxa"/>
            </w:tcMar>
          </w:tcPr>
          <w:p>
            <w:r>
              <w:rPr>
                <w:sz w:val="17"/>
              </w:rPr>
              <w:t>34.87</w:t>
            </w:r>
          </w:p>
        </w:tc>
      </w:tr>
      <w:tr>
        <w:tc>
          <w:tcPr>
            <w:tcW w:type="dxa" w:w="1337"/>
            <w:tcMar>
              <w:top w:w="60" w:type="dxa"/>
              <w:bottom w:w="60" w:type="dxa"/>
              <w:left w:w="80" w:type="dxa"/>
              <w:right w:w="80" w:type="dxa"/>
            </w:tcMar>
          </w:tcPr>
          <w:p>
            <w:r>
              <w:rPr>
                <w:sz w:val="17"/>
              </w:rPr>
              <w:t>Tideglusib</w:t>
            </w:r>
          </w:p>
        </w:tc>
        <w:tc>
          <w:tcPr>
            <w:tcW w:type="dxa" w:w="1337"/>
            <w:tcMar>
              <w:top w:w="60" w:type="dxa"/>
              <w:bottom w:w="60" w:type="dxa"/>
              <w:left w:w="80" w:type="dxa"/>
              <w:right w:w="80" w:type="dxa"/>
            </w:tcMar>
          </w:tcPr>
          <w:p>
            <w:r>
              <w:rPr>
                <w:sz w:val="17"/>
              </w:rPr>
              <w:t>Irreversible GSK-3beta</w:t>
            </w:r>
          </w:p>
        </w:tc>
        <w:tc>
          <w:tcPr>
            <w:tcW w:type="dxa" w:w="1337"/>
            <w:tcMar>
              <w:top w:w="60" w:type="dxa"/>
              <w:bottom w:w="60" w:type="dxa"/>
              <w:left w:w="80" w:type="dxa"/>
              <w:right w:w="80" w:type="dxa"/>
            </w:tcMar>
          </w:tcPr>
          <w:p>
            <w:r>
              <w:rPr>
                <w:sz w:val="17"/>
              </w:rPr>
              <w:t>346.4</w:t>
            </w:r>
          </w:p>
        </w:tc>
        <w:tc>
          <w:tcPr>
            <w:tcW w:type="dxa" w:w="1337"/>
            <w:tcMar>
              <w:top w:w="60" w:type="dxa"/>
              <w:bottom w:w="60" w:type="dxa"/>
              <w:left w:w="80" w:type="dxa"/>
              <w:right w:w="80" w:type="dxa"/>
            </w:tcMar>
          </w:tcPr>
          <w:p>
            <w:r>
              <w:rPr>
                <w:sz w:val="17"/>
              </w:rPr>
              <w:t>4.76</w:t>
            </w:r>
          </w:p>
        </w:tc>
        <w:tc>
          <w:tcPr>
            <w:tcW w:type="dxa" w:w="1337"/>
            <w:tcMar>
              <w:top w:w="60" w:type="dxa"/>
              <w:bottom w:w="60" w:type="dxa"/>
              <w:left w:w="80" w:type="dxa"/>
              <w:right w:w="80" w:type="dxa"/>
            </w:tcMar>
          </w:tcPr>
          <w:p>
            <w:r>
              <w:rPr>
                <w:sz w:val="17"/>
              </w:rPr>
              <w:t>49.7</w:t>
            </w:r>
          </w:p>
        </w:tc>
        <w:tc>
          <w:tcPr>
            <w:tcW w:type="dxa" w:w="1337"/>
            <w:tcMar>
              <w:top w:w="60" w:type="dxa"/>
              <w:bottom w:w="60" w:type="dxa"/>
              <w:left w:w="80" w:type="dxa"/>
              <w:right w:w="80" w:type="dxa"/>
            </w:tcMar>
          </w:tcPr>
          <w:p>
            <w:r>
              <w:rPr>
                <w:sz w:val="17"/>
              </w:rPr>
              <w:t>-11.52</w:t>
            </w:r>
          </w:p>
        </w:tc>
        <w:tc>
          <w:tcPr>
            <w:tcW w:type="dxa" w:w="1337"/>
            <w:tcMar>
              <w:top w:w="60" w:type="dxa"/>
              <w:bottom w:w="60" w:type="dxa"/>
              <w:left w:w="80" w:type="dxa"/>
              <w:right w:w="80" w:type="dxa"/>
            </w:tcMar>
          </w:tcPr>
          <w:p>
            <w:r>
              <w:rPr>
                <w:sz w:val="17"/>
              </w:rPr>
              <w:t>40.54</w:t>
            </w:r>
          </w:p>
        </w:tc>
      </w:tr>
      <w:tr>
        <w:tc>
          <w:tcPr>
            <w:tcW w:type="dxa" w:w="1337"/>
            <w:tcMar>
              <w:top w:w="60" w:type="dxa"/>
              <w:bottom w:w="60" w:type="dxa"/>
              <w:left w:w="80" w:type="dxa"/>
              <w:right w:w="80" w:type="dxa"/>
            </w:tcMar>
          </w:tcPr>
          <w:p>
            <w:r>
              <w:rPr>
                <w:sz w:val="17"/>
              </w:rPr>
              <w:t>AZD1080</w:t>
            </w:r>
          </w:p>
        </w:tc>
        <w:tc>
          <w:tcPr>
            <w:tcW w:type="dxa" w:w="1337"/>
            <w:tcMar>
              <w:top w:w="60" w:type="dxa"/>
              <w:bottom w:w="60" w:type="dxa"/>
              <w:left w:w="80" w:type="dxa"/>
              <w:right w:w="80" w:type="dxa"/>
            </w:tcMar>
          </w:tcPr>
          <w:p>
            <w:r>
              <w:rPr>
                <w:sz w:val="17"/>
              </w:rPr>
              <w:t>GSK-3alpha/beta Inhibi</w:t>
            </w:r>
          </w:p>
        </w:tc>
        <w:tc>
          <w:tcPr>
            <w:tcW w:type="dxa" w:w="1337"/>
            <w:tcMar>
              <w:top w:w="60" w:type="dxa"/>
              <w:bottom w:w="60" w:type="dxa"/>
              <w:left w:w="80" w:type="dxa"/>
              <w:right w:w="80" w:type="dxa"/>
            </w:tcMar>
          </w:tcPr>
          <w:p>
            <w:r>
              <w:rPr>
                <w:sz w:val="17"/>
              </w:rPr>
              <w:t>350.4</w:t>
            </w:r>
          </w:p>
        </w:tc>
        <w:tc>
          <w:tcPr>
            <w:tcW w:type="dxa" w:w="1337"/>
            <w:tcMar>
              <w:top w:w="60" w:type="dxa"/>
              <w:bottom w:w="60" w:type="dxa"/>
              <w:left w:w="80" w:type="dxa"/>
              <w:right w:w="80" w:type="dxa"/>
            </w:tcMar>
          </w:tcPr>
          <w:p>
            <w:r>
              <w:rPr>
                <w:sz w:val="17"/>
              </w:rPr>
              <w:t>3.49</w:t>
            </w:r>
          </w:p>
        </w:tc>
        <w:tc>
          <w:tcPr>
            <w:tcW w:type="dxa" w:w="1337"/>
            <w:tcMar>
              <w:top w:w="60" w:type="dxa"/>
              <w:bottom w:w="60" w:type="dxa"/>
              <w:left w:w="80" w:type="dxa"/>
              <w:right w:w="80" w:type="dxa"/>
            </w:tcMar>
          </w:tcPr>
          <w:p>
            <w:r>
              <w:rPr>
                <w:sz w:val="17"/>
              </w:rPr>
              <w:t>51.1</w:t>
            </w:r>
          </w:p>
        </w:tc>
        <w:tc>
          <w:tcPr>
            <w:tcW w:type="dxa" w:w="1337"/>
            <w:tcMar>
              <w:top w:w="60" w:type="dxa"/>
              <w:bottom w:w="60" w:type="dxa"/>
              <w:left w:w="80" w:type="dxa"/>
              <w:right w:w="80" w:type="dxa"/>
            </w:tcMar>
          </w:tcPr>
          <w:p>
            <w:r>
              <w:rPr>
                <w:sz w:val="17"/>
              </w:rPr>
              <w:t>-10.36</w:t>
            </w:r>
          </w:p>
        </w:tc>
        <w:tc>
          <w:tcPr>
            <w:tcW w:type="dxa" w:w="1337"/>
            <w:tcMar>
              <w:top w:w="60" w:type="dxa"/>
              <w:bottom w:w="60" w:type="dxa"/>
              <w:left w:w="80" w:type="dxa"/>
              <w:right w:w="80" w:type="dxa"/>
            </w:tcMar>
          </w:tcPr>
          <w:p>
            <w:r>
              <w:rPr>
                <w:sz w:val="17"/>
              </w:rPr>
              <w:t>27.11</w:t>
            </w:r>
          </w:p>
        </w:tc>
      </w:tr>
    </w:tbl>
    <w:p>
      <w:pPr>
        <w:pStyle w:val="Heading2"/>
        <w:keepNext/>
        <w:spacing w:before="280" w:after="120"/>
      </w:pPr>
      <w:r>
        <w:rPr>
          <w:rFonts w:ascii="Times New Roman" w:hAnsi="Times New Roman"/>
          <w:b/>
          <w:color w:val="311B92"/>
          <w:sz w:val="24"/>
        </w:rPr>
        <w:t>3.3 Nano-QSAR surrogate model</w:t>
      </w:r>
    </w:p>
    <w:p>
      <w:r>
        <w:t>A StandardScaler + RidgeCV surrogate evaluated by leak-free nested 5x5 cross-validation reached Q2_CV = 0.46 for the isolated-descriptor model and 0.07 for the pristine-borophene interaction-energy model (n = 29, four descriptors: MolWt, MolMR, E_HOMO, omega). The borophene model is therefore essentially non-predictive; the exploratory ExtraTrees / SHAP ranking (Figure 6), led by E_HOMO, is reported only as a qualitative indication and not as a validated structure-property relationship [39,40].</w:t>
      </w:r>
    </w:p>
    <w:p>
      <w:pPr>
        <w:spacing w:before="200" w:after="80"/>
        <w:jc w:val="center"/>
      </w:pPr>
      <w:r>
        <w:drawing>
          <wp:inline xmlns:a="http://schemas.openxmlformats.org/drawingml/2006/main" xmlns:pic="http://schemas.openxmlformats.org/drawingml/2006/picture">
            <wp:extent cx="5669280" cy="2804323"/>
            <wp:docPr id="6" name="Picture 6"/>
            <wp:cNvGraphicFramePr>
              <a:graphicFrameLocks noChangeAspect="1"/>
            </wp:cNvGraphicFramePr>
            <a:graphic>
              <a:graphicData uri="http://schemas.openxmlformats.org/drawingml/2006/picture">
                <pic:pic>
                  <pic:nvPicPr>
                    <pic:cNvPr id="0" name="fig5_tau_parity_models_evaluation.png"/>
                    <pic:cNvPicPr/>
                  </pic:nvPicPr>
                  <pic:blipFill>
                    <a:blip r:embed="rId14"/>
                    <a:stretch>
                      <a:fillRect/>
                    </a:stretch>
                  </pic:blipFill>
                  <pic:spPr>
                    <a:xfrm>
                      <a:off x="0" y="0"/>
                      <a:ext cx="5669280" cy="2804323"/>
                    </a:xfrm>
                    <a:prstGeom prst="rect"/>
                  </pic:spPr>
                </pic:pic>
              </a:graphicData>
            </a:graphic>
          </wp:inline>
        </w:drawing>
      </w:r>
    </w:p>
    <w:p>
      <w:pPr>
        <w:spacing w:after="240" w:line="276" w:lineRule="auto"/>
      </w:pPr>
      <w:r>
        <w:rPr>
          <w:b/>
          <w:color w:val="4A148C"/>
          <w:sz w:val="19"/>
        </w:rPr>
        <w:t xml:space="preserve">Figure 5: </w:t>
      </w:r>
      <w:r>
        <w:rPr>
          <w:i/>
          <w:sz w:val="19"/>
        </w:rPr>
        <w:t xml:space="preserve"> Leak-free nested 5x5 CV parity plots (real observed vs out-of-fold predicted) for the isolated and pristine-borophene systems. The chi3-PEG-Tf functionalized system has no real data and is not shown.</w:t>
      </w:r>
    </w:p>
    <w:p>
      <w:pPr>
        <w:spacing w:before="200" w:after="80"/>
        <w:jc w:val="center"/>
      </w:pPr>
      <w:r>
        <w:drawing>
          <wp:inline xmlns:a="http://schemas.openxmlformats.org/drawingml/2006/main" xmlns:pic="http://schemas.openxmlformats.org/drawingml/2006/picture">
            <wp:extent cx="5669280" cy="3207556"/>
            <wp:docPr id="7" name="Picture 7"/>
            <wp:cNvGraphicFramePr>
              <a:graphicFrameLocks noChangeAspect="1"/>
            </wp:cNvGraphicFramePr>
            <a:graphic>
              <a:graphicData uri="http://schemas.openxmlformats.org/drawingml/2006/picture">
                <pic:pic>
                  <pic:nvPicPr>
                    <pic:cNvPr id="0" name="fig6_tau_shap_xai_importance_rankings.png"/>
                    <pic:cNvPicPr/>
                  </pic:nvPicPr>
                  <pic:blipFill>
                    <a:blip r:embed="rId15"/>
                    <a:stretch>
                      <a:fillRect/>
                    </a:stretch>
                  </pic:blipFill>
                  <pic:spPr>
                    <a:xfrm>
                      <a:off x="0" y="0"/>
                      <a:ext cx="5669280" cy="3207556"/>
                    </a:xfrm>
                    <a:prstGeom prst="rect"/>
                  </pic:spPr>
                </pic:pic>
              </a:graphicData>
            </a:graphic>
          </wp:inline>
        </w:drawing>
      </w:r>
    </w:p>
    <w:p>
      <w:pPr>
        <w:spacing w:after="240" w:line="276" w:lineRule="auto"/>
      </w:pPr>
      <w:r>
        <w:rPr>
          <w:b/>
          <w:color w:val="4A148C"/>
          <w:sz w:val="19"/>
        </w:rPr>
        <w:t xml:space="preserve">Figure 6: </w:t>
      </w:r>
      <w:r>
        <w:rPr>
          <w:i/>
          <w:sz w:val="19"/>
        </w:rPr>
        <w:t xml:space="preserve"> Exploratory feature-importance ranking on the real GFN2-xTB pristine-borophene interaction energy.</w:t>
      </w:r>
    </w:p>
    <w:p>
      <w:pPr>
        <w:spacing w:before="200" w:after="80"/>
        <w:jc w:val="center"/>
      </w:pPr>
      <w:r>
        <w:drawing>
          <wp:inline xmlns:a="http://schemas.openxmlformats.org/drawingml/2006/main" xmlns:pic="http://schemas.openxmlformats.org/drawingml/2006/picture">
            <wp:extent cx="5669280" cy="4960620"/>
            <wp:docPr id="8" name="Picture 8"/>
            <wp:cNvGraphicFramePr>
              <a:graphicFrameLocks noChangeAspect="1"/>
            </wp:cNvGraphicFramePr>
            <a:graphic>
              <a:graphicData uri="http://schemas.openxmlformats.org/drawingml/2006/picture">
                <pic:pic>
                  <pic:nvPicPr>
                    <pic:cNvPr id="0" name="fig7_tau_descriptor_correlation_matrix.png"/>
                    <pic:cNvPicPr/>
                  </pic:nvPicPr>
                  <pic:blipFill>
                    <a:blip r:embed="rId16"/>
                    <a:stretch>
                      <a:fillRect/>
                    </a:stretch>
                  </pic:blipFill>
                  <pic:spPr>
                    <a:xfrm>
                      <a:off x="0" y="0"/>
                      <a:ext cx="5669280" cy="4960620"/>
                    </a:xfrm>
                    <a:prstGeom prst="rect"/>
                  </pic:spPr>
                </pic:pic>
              </a:graphicData>
            </a:graphic>
          </wp:inline>
        </w:drawing>
      </w:r>
    </w:p>
    <w:p>
      <w:pPr>
        <w:spacing w:after="240" w:line="276" w:lineRule="auto"/>
      </w:pPr>
      <w:r>
        <w:rPr>
          <w:b/>
          <w:color w:val="4A148C"/>
          <w:sz w:val="19"/>
        </w:rPr>
        <w:t xml:space="preserve">Figure 7: </w:t>
      </w:r>
      <w:r>
        <w:rPr>
          <w:i/>
          <w:sz w:val="19"/>
        </w:rPr>
        <w:t xml:space="preserve"> Pearson inter-descriptor correlation heatmap (real descriptor matrix, 29 Alzheimer/Tau therapeutics).</w:t>
      </w:r>
    </w:p>
    <w:p>
      <w:pPr>
        <w:pStyle w:val="Heading2"/>
        <w:keepNext/>
        <w:spacing w:before="280" w:after="120"/>
      </w:pPr>
      <w:r>
        <w:rPr>
          <w:rFonts w:ascii="Times New Roman" w:hAnsi="Times New Roman"/>
          <w:b/>
          <w:color w:val="311B92"/>
          <w:sz w:val="24"/>
        </w:rPr>
        <w:t>3.4 Applicability domain (OECD Principle 3)</w:t>
      </w:r>
    </w:p>
    <w:p>
      <w:r>
        <w:t>Williams hat-matrix leverage on the real 8-descriptor matrix gives a warning leverage h* = 0.93; 28 of the 29 compounds fall inside the domain (leverage below h* and standardized residual within +/-3sigma) for both real-data systems [31-33].</w:t>
      </w:r>
    </w:p>
    <w:p>
      <w:pPr>
        <w:spacing w:before="200" w:after="80"/>
        <w:jc w:val="center"/>
      </w:pPr>
      <w:r>
        <w:drawing>
          <wp:inline xmlns:a="http://schemas.openxmlformats.org/drawingml/2006/main" xmlns:pic="http://schemas.openxmlformats.org/drawingml/2006/picture">
            <wp:extent cx="5669280" cy="2745068"/>
            <wp:docPr id="9" name="Picture 9"/>
            <wp:cNvGraphicFramePr>
              <a:graphicFrameLocks noChangeAspect="1"/>
            </wp:cNvGraphicFramePr>
            <a:graphic>
              <a:graphicData uri="http://schemas.openxmlformats.org/drawingml/2006/picture">
                <pic:pic>
                  <pic:nvPicPr>
                    <pic:cNvPr id="0" name="fig8_tau_williams_applicability_domain.png"/>
                    <pic:cNvPicPr/>
                  </pic:nvPicPr>
                  <pic:blipFill>
                    <a:blip r:embed="rId17"/>
                    <a:stretch>
                      <a:fillRect/>
                    </a:stretch>
                  </pic:blipFill>
                  <pic:spPr>
                    <a:xfrm>
                      <a:off x="0" y="0"/>
                      <a:ext cx="5669280" cy="2745068"/>
                    </a:xfrm>
                    <a:prstGeom prst="rect"/>
                  </pic:spPr>
                </pic:pic>
              </a:graphicData>
            </a:graphic>
          </wp:inline>
        </w:drawing>
      </w:r>
    </w:p>
    <w:p>
      <w:pPr>
        <w:spacing w:after="240" w:line="276" w:lineRule="auto"/>
      </w:pPr>
      <w:r>
        <w:rPr>
          <w:b/>
          <w:color w:val="4A148C"/>
          <w:sz w:val="19"/>
        </w:rPr>
        <w:t xml:space="preserve">Figure 8: </w:t>
      </w:r>
      <w:r>
        <w:rPr>
          <w:i/>
          <w:sz w:val="19"/>
        </w:rPr>
        <w:t xml:space="preserve"> OECD Principle 3 Williams plots defining the applicability domain for the Tau therapeutics on beta-12 borophene (real data only).</w:t>
      </w:r>
    </w:p>
    <w:p>
      <w:pPr>
        <w:spacing w:before="200" w:after="80"/>
        <w:jc w:val="center"/>
      </w:pPr>
      <w:r>
        <w:drawing>
          <wp:inline xmlns:a="http://schemas.openxmlformats.org/drawingml/2006/main" xmlns:pic="http://schemas.openxmlformats.org/drawingml/2006/picture">
            <wp:extent cx="5669280" cy="1926242"/>
            <wp:docPr id="10" name="Picture 10"/>
            <wp:cNvGraphicFramePr>
              <a:graphicFrameLocks noChangeAspect="1"/>
            </wp:cNvGraphicFramePr>
            <a:graphic>
              <a:graphicData uri="http://schemas.openxmlformats.org/drawingml/2006/picture">
                <pic:pic>
                  <pic:nvPicPr>
                    <pic:cNvPr id="0" name="fig9_tau_3d_spatial_binding_modes.png"/>
                    <pic:cNvPicPr/>
                  </pic:nvPicPr>
                  <pic:blipFill>
                    <a:blip r:embed="rId18"/>
                    <a:stretch>
                      <a:fillRect/>
                    </a:stretch>
                  </pic:blipFill>
                  <pic:spPr>
                    <a:xfrm>
                      <a:off x="0" y="0"/>
                      <a:ext cx="5669280" cy="1926242"/>
                    </a:xfrm>
                    <a:prstGeom prst="rect"/>
                  </pic:spPr>
                </pic:pic>
              </a:graphicData>
            </a:graphic>
          </wp:inline>
        </w:drawing>
      </w:r>
    </w:p>
    <w:p>
      <w:pPr>
        <w:spacing w:after="240" w:line="276" w:lineRule="auto"/>
      </w:pPr>
      <w:r>
        <w:rPr>
          <w:b/>
          <w:color w:val="4A148C"/>
          <w:sz w:val="19"/>
        </w:rPr>
        <w:t xml:space="preserve">Figure 9: </w:t>
      </w:r>
      <w:r>
        <w:rPr>
          <w:i/>
          <w:sz w:val="19"/>
        </w:rPr>
        <w:t xml:space="preserve"> Representative binding modes (schematic): (a) EGCG at the Tau filament cleft (PDB 5O3L); (b) hydromethylthionine/LMTX pose; (c) a drug on the pristine beta-12 borophene surface with its real GFN2-xTB Delta_E_int,SP.</w:t>
      </w:r>
    </w:p>
    <w:p>
      <w:pPr>
        <w:pStyle w:val="Heading2"/>
        <w:keepNext/>
        <w:spacing w:before="280" w:after="120"/>
      </w:pPr>
      <w:r>
        <w:rPr>
          <w:rFonts w:ascii="Times New Roman" w:hAnsi="Times New Roman"/>
          <w:b/>
          <w:color w:val="311B92"/>
          <w:sz w:val="24"/>
        </w:rPr>
        <w:t>3.5 Interfacial charge redistribution</w:t>
      </w:r>
    </w:p>
    <w:p>
      <w:r>
        <w:t>For the most strongly interacting system, the charge-density difference Delta_rho = rho(complex) - rho(carrier) - rho(drug) was computed from the real GFN2-xTB densities of the curcumin / beta-12 borophene complex in its best-orientation relaxed pose, all fragments taken at the bound geometry on a common grid (Figure 10). A single compact pair of accumulation (yellow) and depletion (blue) lobes forms where the curcumin enol/methine carbon approaches the borophene sheet (nearest-atom separation 1.4 Angstrom), i.e. the interaction here is a short-range, orbital-mediated contact rather than pure dispersion. Weaker adsorbates in the set show no comparable interfacial feature. The Delta_rho cube and its build script are in results/quantum/drho/.</w:t>
      </w:r>
    </w:p>
    <w:p>
      <w:pPr>
        <w:spacing w:before="200" w:after="80"/>
        <w:jc w:val="center"/>
      </w:pPr>
      <w:r>
        <w:drawing>
          <wp:inline xmlns:a="http://schemas.openxmlformats.org/drawingml/2006/main" xmlns:pic="http://schemas.openxmlformats.org/drawingml/2006/picture">
            <wp:extent cx="5669280" cy="4464558"/>
            <wp:docPr id="11" name="Picture 11"/>
            <wp:cNvGraphicFramePr>
              <a:graphicFrameLocks noChangeAspect="1"/>
            </wp:cNvGraphicFramePr>
            <a:graphic>
              <a:graphicData uri="http://schemas.openxmlformats.org/drawingml/2006/picture">
                <pic:pic>
                  <pic:nvPicPr>
                    <pic:cNvPr id="0" name="fig10_tau_charge_density_difference.png"/>
                    <pic:cNvPicPr/>
                  </pic:nvPicPr>
                  <pic:blipFill>
                    <a:blip r:embed="rId19"/>
                    <a:stretch>
                      <a:fillRect/>
                    </a:stretch>
                  </pic:blipFill>
                  <pic:spPr>
                    <a:xfrm>
                      <a:off x="0" y="0"/>
                      <a:ext cx="5669280" cy="4464558"/>
                    </a:xfrm>
                    <a:prstGeom prst="rect"/>
                  </pic:spPr>
                </pic:pic>
              </a:graphicData>
            </a:graphic>
          </wp:inline>
        </w:drawing>
      </w:r>
    </w:p>
    <w:p>
      <w:pPr>
        <w:spacing w:after="240" w:line="276" w:lineRule="auto"/>
      </w:pPr>
      <w:r>
        <w:rPr>
          <w:b/>
          <w:color w:val="4A148C"/>
          <w:sz w:val="19"/>
        </w:rPr>
        <w:t xml:space="preserve">Figure 10: </w:t>
      </w:r>
      <w:r>
        <w:rPr>
          <w:i/>
          <w:sz w:val="19"/>
        </w:rPr>
        <w:t xml:space="preserve"> Charge-density difference (real GFN2-xTB densities) for the curcumin / beta-12 borophene complex (best-orientation relaxed pose). Isovalue +/-0.005 e bohr^-3; yellow = electron accumulation, blue = depletion. Delta_E_int,SP = -7.8 kcal/mol.</w:t>
      </w:r>
    </w:p>
    <w:p>
      <w:pPr>
        <w:pStyle w:val="Heading1"/>
        <w:keepNext/>
        <w:spacing w:before="280" w:after="120"/>
      </w:pPr>
      <w:r>
        <w:rPr>
          <w:rFonts w:ascii="Times New Roman" w:hAnsi="Times New Roman"/>
          <w:b/>
          <w:color w:val="4A148C"/>
          <w:sz w:val="28"/>
        </w:rPr>
        <w:t>4. Conclusions</w:t>
      </w:r>
    </w:p>
    <w:p>
      <w:r>
        <w:t>We report a quantum-informed, explainable Nano-QSAR analysis of pristine beta-12 borophene (B40H15) as a candidate loading surface for Tau-directed therapeutics. Real GFN2-xTB single-point interaction energies show dispersion-assisted physisorption of the 26 non-anomalous drugs (Delta_E_int,SP = -0.9 to -13.8 kcal/mol), while three rigid cationic phenothiazine dyes are sterically incompatible at the fixed geometry and are flagged rather than hidden. Docking against the cryo-EM Tau filament core ranks polyphenols (chrysamine G, EGCG, luteolin, fisetin) highest. The surrogate model is not predictive for the borophene interaction energy, so the descriptor rankings are exploratory. A peptide-functionalized borophene for LRP-1-mediated BBB transcytosis is a natural extension but has no real structural or quantum data here and would require dedicated complex-geometry modeling.</w:t>
      </w:r>
    </w:p>
    <w:p>
      <w:pPr>
        <w:pStyle w:val="Heading1"/>
        <w:keepNext/>
        <w:spacing w:before="280" w:after="120"/>
      </w:pPr>
      <w:r>
        <w:rPr>
          <w:rFonts w:ascii="Times New Roman" w:hAnsi="Times New Roman"/>
          <w:b/>
          <w:color w:val="4A148C"/>
          <w:sz w:val="28"/>
        </w:rPr>
        <w:t>Acknowledgements &amp; Data Availability</w:t>
      </w:r>
    </w:p>
    <w:p>
      <w:r>
        <w:t>Supported by Universidad Estatal de Sonora and Universidad de Sonora. Full code and docking PDBQT files are available in the repository.</w:t>
      </w:r>
    </w:p>
    <w:p>
      <w:pPr>
        <w:pStyle w:val="Heading1"/>
        <w:keepNext/>
        <w:spacing w:before="280" w:after="120"/>
      </w:pPr>
      <w:r>
        <w:rPr>
          <w:rFonts w:ascii="Times New Roman" w:hAnsi="Times New Roman"/>
          <w:b/>
          <w:color w:val="4A148C"/>
          <w:sz w:val="28"/>
        </w:rPr>
        <w:t>References</w:t>
      </w:r>
    </w:p>
    <w:p>
      <w:pPr>
        <w:spacing w:after="60"/>
        <w:ind w:left="576"/>
      </w:pPr>
      <w:r>
        <w:rPr>
          <w:b/>
        </w:rPr>
        <w:t xml:space="preserve">1. </w:t>
      </w:r>
      <w:r>
        <w:t xml:space="preserve">Scheltens, P.; De Strooper, B.; Kivipelto, M.; Holstege, H.; Chételat, G.; Teunissen, C. E.; Cummings, J.; van der Flier, W. M. Alzheimer's disease. The Lancet 2021, 397 (10284), 1577-1590. </w:t>
      </w:r>
      <w:r>
        <w:rPr>
          <w:i/>
          <w:color w:val="4A148C"/>
          <w:sz w:val="18"/>
        </w:rPr>
        <w:t>doi:10.1016/s0140-6736(20)32205-4</w:t>
      </w:r>
    </w:p>
    <w:p>
      <w:pPr>
        <w:spacing w:after="60"/>
        <w:ind w:left="576"/>
      </w:pPr>
      <w:r>
        <w:rPr>
          <w:b/>
        </w:rPr>
        <w:t xml:space="preserve">2. </w:t>
      </w:r>
      <w:r>
        <w:t xml:space="preserve">Gao, Y.; Tan, L.; Yu, J. T.; Tan, L. Tau in Alzheimer's Disease: Mechanisms and Therapeutic Strategies. Current Alzheimer Research 2018, 15 (3), 283-300. </w:t>
      </w:r>
      <w:r>
        <w:rPr>
          <w:i/>
          <w:color w:val="4A148C"/>
          <w:sz w:val="18"/>
        </w:rPr>
        <w:t>doi:10.2174/1567205014666170417111859</w:t>
      </w:r>
    </w:p>
    <w:p>
      <w:pPr>
        <w:spacing w:after="60"/>
        <w:ind w:left="576"/>
      </w:pPr>
      <w:r>
        <w:rPr>
          <w:b/>
        </w:rPr>
        <w:t xml:space="preserve">3. </w:t>
      </w:r>
      <w:r>
        <w:t xml:space="preserve">Braak, H.; Braak, E. Neuropathological stageing of Alzheimer-related changes. Acta Neuropathologica 1991, 82 (4), 239-259. </w:t>
      </w:r>
      <w:r>
        <w:rPr>
          <w:i/>
          <w:color w:val="4A148C"/>
          <w:sz w:val="18"/>
        </w:rPr>
        <w:t>doi:10.1007/bf00308809</w:t>
      </w:r>
    </w:p>
    <w:p>
      <w:pPr>
        <w:spacing w:after="60"/>
        <w:ind w:left="576"/>
      </w:pPr>
      <w:r>
        <w:rPr>
          <w:b/>
        </w:rPr>
        <w:t xml:space="preserve">4. </w:t>
      </w:r>
      <w:r>
        <w:t xml:space="preserve">Wang, Y.; Mandelkow, E. Tau in physiology and pathology. Nature Reviews Neuroscience 2015, 17 (1), 22-35. </w:t>
      </w:r>
      <w:r>
        <w:rPr>
          <w:i/>
          <w:color w:val="4A148C"/>
          <w:sz w:val="18"/>
        </w:rPr>
        <w:t>doi:10.1038/nrn.2015.1</w:t>
      </w:r>
    </w:p>
    <w:p>
      <w:pPr>
        <w:spacing w:after="60"/>
        <w:ind w:left="576"/>
      </w:pPr>
      <w:r>
        <w:rPr>
          <w:b/>
        </w:rPr>
        <w:t xml:space="preserve">5. </w:t>
      </w:r>
      <w:r>
        <w:t xml:space="preserve">Iqbal, K.; Liu, F.; Gong, C. X.; Grundke-Iqbal, I. Tau in Alzheimer Disease and Related Tauopathies. Current Alzheimer Research 2010, 7 (8), 656-664. </w:t>
      </w:r>
      <w:r>
        <w:rPr>
          <w:i/>
          <w:color w:val="4A148C"/>
          <w:sz w:val="18"/>
        </w:rPr>
        <w:t>doi:10.2174/156720510793611592</w:t>
      </w:r>
    </w:p>
    <w:p>
      <w:pPr>
        <w:spacing w:after="60"/>
        <w:ind w:left="576"/>
      </w:pPr>
      <w:r>
        <w:rPr>
          <w:b/>
        </w:rPr>
        <w:t xml:space="preserve">6. </w:t>
      </w:r>
      <w:r>
        <w:t xml:space="preserve">Spillantini, M. G.; Goedert, M. Tau pathology and neurodegeneration. The Lancet Neurology 2013, 12 (6), 609-622. </w:t>
      </w:r>
      <w:r>
        <w:rPr>
          <w:i/>
          <w:color w:val="4A148C"/>
          <w:sz w:val="18"/>
        </w:rPr>
        <w:t>doi:10.1016/s1474-4422(13)70090-5</w:t>
      </w:r>
    </w:p>
    <w:p>
      <w:pPr>
        <w:spacing w:after="60"/>
        <w:ind w:left="576"/>
      </w:pPr>
      <w:r>
        <w:rPr>
          <w:b/>
        </w:rPr>
        <w:t xml:space="preserve">7. </w:t>
      </w:r>
      <w:r>
        <w:t xml:space="preserve">Fitzpatrick, A. W. P.; Falcon, B.; He, S.; Murzin, A. G.; Murshudov, G.; Garringer, H. J.; Crowther, R. A.; Ghetti, B.; Goedert, M.; Scheres, S. H. W. Cryo-EM structures of tau filaments from Alzheimer’s disease. Nature 2017, 547 (7662), 185-190. </w:t>
      </w:r>
      <w:r>
        <w:rPr>
          <w:i/>
          <w:color w:val="4A148C"/>
          <w:sz w:val="18"/>
        </w:rPr>
        <w:t>doi:10.1038/nature23002</w:t>
      </w:r>
    </w:p>
    <w:p>
      <w:pPr>
        <w:spacing w:after="60"/>
        <w:ind w:left="576"/>
      </w:pPr>
      <w:r>
        <w:rPr>
          <w:b/>
        </w:rPr>
        <w:t xml:space="preserve">8. </w:t>
      </w:r>
      <w:r>
        <w:t xml:space="preserve">Falcon, B.; Zhang, W.; Murzin, A. G.; Murshudov, G.; Garringer, H. J.; Vidal, R.; Crowther, R. A.; Ghetti, B.; Scheres, S. H. W.; Goedert, M. Structures of filaments from Pick’s disease reveal a novel tau protein fold. Nature 2018, 561 (7721), 137-140. </w:t>
      </w:r>
      <w:r>
        <w:rPr>
          <w:i/>
          <w:color w:val="4A148C"/>
          <w:sz w:val="18"/>
        </w:rPr>
        <w:t>doi:10.1038/s41586-018-0454-y</w:t>
      </w:r>
    </w:p>
    <w:p>
      <w:pPr>
        <w:spacing w:after="60"/>
        <w:ind w:left="576"/>
      </w:pPr>
      <w:r>
        <w:rPr>
          <w:b/>
        </w:rPr>
        <w:t xml:space="preserve">9. </w:t>
      </w:r>
      <w:r>
        <w:t xml:space="preserve">Zhang, W.; Tarutani, A.; Newell, K. L.; Murzin, A. G.; Matsubara, T.; Falcon, B.; Vidal, R.; Garringer, H. J.; Shi, Y.; Ikeuchi, T.; et al. Novel tau filament fold in corticobasal degeneration. Nature 2020, 580 (7802), 283-287. </w:t>
      </w:r>
      <w:r>
        <w:rPr>
          <w:i/>
          <w:color w:val="4A148C"/>
          <w:sz w:val="18"/>
        </w:rPr>
        <w:t>doi:10.1038/s41586-020-2043-0</w:t>
      </w:r>
    </w:p>
    <w:p>
      <w:pPr>
        <w:spacing w:after="60"/>
        <w:ind w:left="576"/>
      </w:pPr>
      <w:r>
        <w:rPr>
          <w:b/>
        </w:rPr>
        <w:t xml:space="preserve">10. </w:t>
      </w:r>
      <w:r>
        <w:t xml:space="preserve">Shi, Y.; Zhang, W.; Yang, Y.; Murzin, A. G.; Falcon, B.; Kotecha, A.; van Beers, M.; Tarutani, A.; Kametani, F.; Garringer, H. J.; et al. Structure-based classification of tauopathies. Nature 2021, 598 (7880), 359-363. </w:t>
      </w:r>
      <w:r>
        <w:rPr>
          <w:i/>
          <w:color w:val="4A148C"/>
          <w:sz w:val="18"/>
        </w:rPr>
        <w:t>doi:10.1038/s41586-021-03911-7</w:t>
      </w:r>
    </w:p>
    <w:p>
      <w:pPr>
        <w:spacing w:after="60"/>
        <w:ind w:left="576"/>
      </w:pPr>
      <w:r>
        <w:rPr>
          <w:b/>
        </w:rPr>
        <w:t xml:space="preserve">11. </w:t>
      </w:r>
      <w:r>
        <w:t xml:space="preserve">Wischik, C. M.; Edwards, P. C.; Lai, R. Y.; Roth, M.; Harrington, C. R. Selective inhibition of Alzheimer disease-like tau aggregation by phenothiazines. Proceedings of the National Academy of Sciences 1996, 93 (20), 11213-11218. </w:t>
      </w:r>
      <w:r>
        <w:rPr>
          <w:i/>
          <w:color w:val="4A148C"/>
          <w:sz w:val="18"/>
        </w:rPr>
        <w:t>doi:10.1073/pnas.93.20.11213</w:t>
      </w:r>
    </w:p>
    <w:p>
      <w:pPr>
        <w:spacing w:after="60"/>
        <w:ind w:left="576"/>
      </w:pPr>
      <w:r>
        <w:rPr>
          <w:b/>
        </w:rPr>
        <w:t xml:space="preserve">12. </w:t>
      </w:r>
      <w:r>
        <w:t xml:space="preserve">Baddeley, T. C.; McCaffrey, J.; M. D. Storey, J.; Cheung, J. K.; Melis, V.; Horsley, D.; Harrington, C. R.; Wischik, C. M. Complex Disposition of Methylthioninium Redox Forms Determines Efficacy in Tau Aggregation Inhibitor Therapy for Alzheimer’s Disease. The Journal of Pharmacology and Experimental Therapeutics 2015, 352 (1), 110-118. </w:t>
      </w:r>
      <w:r>
        <w:rPr>
          <w:i/>
          <w:color w:val="4A148C"/>
          <w:sz w:val="18"/>
        </w:rPr>
        <w:t>doi:10.1124/jpet.114.219352</w:t>
      </w:r>
    </w:p>
    <w:p>
      <w:pPr>
        <w:spacing w:after="60"/>
        <w:ind w:left="576"/>
      </w:pPr>
      <w:r>
        <w:rPr>
          <w:b/>
        </w:rPr>
        <w:t xml:space="preserve">13. </w:t>
      </w:r>
      <w:r>
        <w:t xml:space="preserve">Gobbi, L. C.; Knust, H.; Körner, M.; Honer, M.; Czech, C.; Belli, S.; Muri, D.; Edelmann, M. R.; Hartung, T.; Erbsmehl, I.; et al. Identification of Three Novel Radiotracers for Imaging Aggregated Tau in Alzheimer’s Disease with Positron Emission Tomography. Journal of Medicinal Chemistry 2017, 60 (17), 7350-7370. </w:t>
      </w:r>
      <w:r>
        <w:rPr>
          <w:i/>
          <w:color w:val="4A148C"/>
          <w:sz w:val="18"/>
        </w:rPr>
        <w:t>doi:10.1021/acs.jmedchem.7b00632</w:t>
      </w:r>
    </w:p>
    <w:p>
      <w:pPr>
        <w:spacing w:after="60"/>
        <w:ind w:left="576"/>
      </w:pPr>
      <w:r>
        <w:rPr>
          <w:b/>
        </w:rPr>
        <w:t xml:space="preserve">14. </w:t>
      </w:r>
      <w:r>
        <w:t xml:space="preserve">Bieschke, J.; Russ, J.; Friedrich, R. P.; Ehrnhoefer, D. E.; Wobst, H.; Neugebauer, K.; Wanker, E. E. EGCG remodels mature α-synuclein and amyloid-β fibrils and reduces cellular toxicity. Proceedings of the National Academy of Sciences 2010, 107 (17), 7710-7715. </w:t>
      </w:r>
      <w:r>
        <w:rPr>
          <w:i/>
          <w:color w:val="4A148C"/>
          <w:sz w:val="18"/>
        </w:rPr>
        <w:t>doi:10.1073/pnas.0910723107</w:t>
      </w:r>
    </w:p>
    <w:p>
      <w:pPr>
        <w:spacing w:after="60"/>
        <w:ind w:left="576"/>
      </w:pPr>
      <w:r>
        <w:rPr>
          <w:b/>
        </w:rPr>
        <w:t xml:space="preserve">15. </w:t>
      </w:r>
      <w:r>
        <w:t xml:space="preserve">Rane, J. S.; Bhaumik, P.; Panda, D. Curcumin Inhibits Tau Aggregation and Disintegrates Preformed Tau Filaments in vitro. Journal of Alzheimer's Disease 2017, 60 (3), 999-1014. </w:t>
      </w:r>
      <w:r>
        <w:rPr>
          <w:i/>
          <w:color w:val="4A148C"/>
          <w:sz w:val="18"/>
        </w:rPr>
        <w:t>doi:10.3233/jad-170351</w:t>
      </w:r>
    </w:p>
    <w:p>
      <w:pPr>
        <w:spacing w:after="60"/>
        <w:ind w:left="576"/>
      </w:pPr>
      <w:r>
        <w:rPr>
          <w:b/>
        </w:rPr>
        <w:t xml:space="preserve">16. </w:t>
      </w:r>
      <w:r>
        <w:t xml:space="preserve">Wagner, J.; Ryazanov, S.; Leonov, A.; Levin, J.; Shi, S.; Schmidt, F.; Prix, C.; Pan-Montojo, F.; Bertsch, U.; Mitteregger-Kretzschmar, G.; et al. Anle138b: a novel oligomer modulator for disease-modifying therapy of neurodegenerative diseases such as prion and Parkinson’s disease. Acta Neuropathologica 2013, 125 (6), 795-813. </w:t>
      </w:r>
      <w:r>
        <w:rPr>
          <w:i/>
          <w:color w:val="4A148C"/>
          <w:sz w:val="18"/>
        </w:rPr>
        <w:t>doi:10.1007/s00401-013-1114-9</w:t>
      </w:r>
    </w:p>
    <w:p>
      <w:pPr>
        <w:spacing w:after="60"/>
        <w:ind w:left="576"/>
      </w:pPr>
      <w:r>
        <w:rPr>
          <w:b/>
        </w:rPr>
        <w:t xml:space="preserve">17. </w:t>
      </w:r>
      <w:r>
        <w:t xml:space="preserve">Serpell, L. C. Alzheimer’s amyloid fibrils: structure and assembly. Biochimica et Biophysica Acta (BBA) - Molecular Basis of Disease 2000, 1502 (1), 16-30. </w:t>
      </w:r>
      <w:r>
        <w:rPr>
          <w:i/>
          <w:color w:val="4A148C"/>
          <w:sz w:val="18"/>
        </w:rPr>
        <w:t>doi:10.1016/s0925-4439(00)00029-6</w:t>
      </w:r>
    </w:p>
    <w:p>
      <w:pPr>
        <w:spacing w:after="60"/>
        <w:ind w:left="576"/>
      </w:pPr>
      <w:r>
        <w:rPr>
          <w:b/>
        </w:rPr>
        <w:t xml:space="preserve">18. </w:t>
      </w:r>
      <w:r>
        <w:t xml:space="preserve">Congdon, E. E.; Sigurdsson, E. M. Tau-targeting therapies for Alzheimer disease. Nature Reviews Neurology 2018, 14 (7), 399-415. </w:t>
      </w:r>
      <w:r>
        <w:rPr>
          <w:i/>
          <w:color w:val="4A148C"/>
          <w:sz w:val="18"/>
        </w:rPr>
        <w:t>doi:10.1038/s41582-018-0013-z</w:t>
      </w:r>
    </w:p>
    <w:p>
      <w:pPr>
        <w:spacing w:after="60"/>
        <w:ind w:left="576"/>
      </w:pPr>
      <w:r>
        <w:rPr>
          <w:b/>
        </w:rPr>
        <w:t xml:space="preserve">19. </w:t>
      </w:r>
      <w:r>
        <w:t xml:space="preserve">Seidler, P. M.; Boyer, D. R.; Rodriguez, J. A.; Sawaya, M. R.; Cascio, D.; Murray, K.; Gonen, T.; Eisenberg, D. S. Structure-based inhibitors of tau aggregation. Nature Chemistry 2017, 10 (2), 170-176. </w:t>
      </w:r>
      <w:r>
        <w:rPr>
          <w:i/>
          <w:color w:val="4A148C"/>
          <w:sz w:val="18"/>
        </w:rPr>
        <w:t>doi:10.1038/nchem.2889</w:t>
      </w:r>
    </w:p>
    <w:p>
      <w:pPr>
        <w:spacing w:after="60"/>
        <w:ind w:left="576"/>
      </w:pPr>
      <w:r>
        <w:rPr>
          <w:b/>
        </w:rPr>
        <w:t xml:space="preserve">20. </w:t>
      </w:r>
      <w:r>
        <w:t xml:space="preserve">Bouter, C.; Henniges, P.; Franke, T. N.; Irwin, C.; Sahlmann, C. O.; Sichler, M. E.; Beindorff, N.; Bayer, T. A.; Bouter, Y. 18F-FDG-PET Detects Drastic Changes in Brain Metabolism in the Tg4–42 Model of Alzheimer’s Disease. Frontiers in Aging Neuroscience 2019, 10. </w:t>
      </w:r>
      <w:r>
        <w:rPr>
          <w:i/>
          <w:color w:val="4A148C"/>
          <w:sz w:val="18"/>
        </w:rPr>
        <w:t>doi:10.3389/fnagi.2018.00425</w:t>
      </w:r>
    </w:p>
    <w:p>
      <w:pPr>
        <w:spacing w:after="60"/>
        <w:ind w:left="576"/>
      </w:pPr>
      <w:r>
        <w:rPr>
          <w:b/>
        </w:rPr>
        <w:t xml:space="preserve">21. </w:t>
      </w:r>
      <w:r>
        <w:t xml:space="preserve">Mannix, A. J.; Zhou, X. F.; Kiraly, B.; Wood, J. D.; Alducin, D.; Myers, B. D.; Liu, X.; Fisher, B. L.; Santiago, U.; Guest, J. R.; et al. Synthesis of borophenes: Anisotropic, two-dimensional boron polymorphs. Science 2015, 350 (6267), 1513-1516. </w:t>
      </w:r>
      <w:r>
        <w:rPr>
          <w:i/>
          <w:color w:val="4A148C"/>
          <w:sz w:val="18"/>
        </w:rPr>
        <w:t>doi:10.1126/science.aad1080</w:t>
      </w:r>
    </w:p>
    <w:p>
      <w:pPr>
        <w:spacing w:after="60"/>
        <w:ind w:left="576"/>
      </w:pPr>
      <w:r>
        <w:rPr>
          <w:b/>
        </w:rPr>
        <w:t xml:space="preserve">22. </w:t>
      </w:r>
      <w:r>
        <w:t xml:space="preserve">Feng, B.; Zhang, J.; Zhong, Q.; Li, W.; Li, S.; Li, H.; Cheng, P.; Meng, S.; Chen, L.; Wu, K. Experimental realization of two-dimensional boron sheets. Nature Chemistry 2016, 8 (6), 563-568. </w:t>
      </w:r>
      <w:r>
        <w:rPr>
          <w:i/>
          <w:color w:val="4A148C"/>
          <w:sz w:val="18"/>
        </w:rPr>
        <w:t>doi:10.1038/nchem.2491</w:t>
      </w:r>
    </w:p>
    <w:p>
      <w:pPr>
        <w:spacing w:after="60"/>
        <w:ind w:left="576"/>
      </w:pPr>
      <w:r>
        <w:rPr>
          <w:b/>
        </w:rPr>
        <w:t xml:space="preserve">23. </w:t>
      </w:r>
      <w:r>
        <w:t xml:space="preserve">Zhang, Z.; Penev, E. S.; Yakobson, B. I. Two-dimensional boron: structures, properties and applications. Chemical Society Reviews 2017, 46 (22), 6746-6763. </w:t>
      </w:r>
      <w:r>
        <w:rPr>
          <w:i/>
          <w:color w:val="4A148C"/>
          <w:sz w:val="18"/>
        </w:rPr>
        <w:t>doi:10.1039/c7cs00261k</w:t>
      </w:r>
    </w:p>
    <w:p>
      <w:pPr>
        <w:spacing w:after="60"/>
        <w:ind w:left="576"/>
      </w:pPr>
      <w:r>
        <w:rPr>
          <w:b/>
        </w:rPr>
        <w:t xml:space="preserve">24. </w:t>
      </w:r>
      <w:r>
        <w:t xml:space="preserve">Bannwarth, C.; Ehlert, S.; Grimme, S. GFN2-xTB─An Accurate and Broadly Parametrized Self-Consistent Tight-Binding Quantum Chemical Method with Multipole Electrostatics and Density-Dependent Dispersion Contributions. Journal of Chemical Theory and Computation 2019, 15 (3), 1652-1671. </w:t>
      </w:r>
      <w:r>
        <w:rPr>
          <w:i/>
          <w:color w:val="4A148C"/>
          <w:sz w:val="18"/>
        </w:rPr>
        <w:t>doi:10.1021/acs.jctc.8b01176</w:t>
      </w:r>
    </w:p>
    <w:p>
      <w:pPr>
        <w:spacing w:after="60"/>
        <w:ind w:left="576"/>
      </w:pPr>
      <w:r>
        <w:rPr>
          <w:b/>
        </w:rPr>
        <w:t xml:space="preserve">25. </w:t>
      </w:r>
      <w:r>
        <w:t xml:space="preserve">Grimme, S.; Bannwarth, C.; Shushkov, P. A Robust and Accurate Tight-Binding Quantum Chemical Method for Structures, Vibrational Frequencies, and Noncovalent Interactions of Large Molecular Systems Parametrized for All spd-Block Elements ( Z = 1–86). Journal of Chemical Theory and Computation 2017, 13 (5), 1989-2009. </w:t>
      </w:r>
      <w:r>
        <w:rPr>
          <w:i/>
          <w:color w:val="4A148C"/>
          <w:sz w:val="18"/>
        </w:rPr>
        <w:t>doi:10.1021/acs.jctc.7b00118</w:t>
      </w:r>
    </w:p>
    <w:p>
      <w:pPr>
        <w:spacing w:after="60"/>
        <w:ind w:left="576"/>
      </w:pPr>
      <w:r>
        <w:rPr>
          <w:b/>
        </w:rPr>
        <w:t xml:space="preserve">26. </w:t>
      </w:r>
      <w:r>
        <w:t xml:space="preserve">Caldeweyher, E.; Ehlert, S.; Hansen, A.; Neugebauer, H.; Spicher, S.; Bannwarth, C.; Grimme, S. A generally applicable atomic-charge dependent London dispersion correction. The Journal of Chemical Physics 2019, 150 (15). </w:t>
      </w:r>
      <w:r>
        <w:rPr>
          <w:i/>
          <w:color w:val="4A148C"/>
          <w:sz w:val="18"/>
        </w:rPr>
        <w:t>doi:10.1063/1.5090222</w:t>
      </w:r>
    </w:p>
    <w:p>
      <w:pPr>
        <w:spacing w:after="60"/>
        <w:ind w:left="576"/>
      </w:pPr>
      <w:r>
        <w:rPr>
          <w:b/>
        </w:rPr>
        <w:t xml:space="preserve">27. </w:t>
      </w:r>
      <w:r>
        <w:t xml:space="preserve">Grimme, S.; Ehrlich, S.; Goerigk, L. Effect of the damping function in dispersion corrected density functional theory. Journal of Computational Chemistry 2011, 32 (7), 1456-1465. </w:t>
      </w:r>
      <w:r>
        <w:rPr>
          <w:i/>
          <w:color w:val="4A148C"/>
          <w:sz w:val="18"/>
        </w:rPr>
        <w:t>doi:10.1002/jcc.21759</w:t>
      </w:r>
    </w:p>
    <w:p>
      <w:pPr>
        <w:spacing w:after="60"/>
        <w:ind w:left="576"/>
      </w:pPr>
      <w:r>
        <w:rPr>
          <w:b/>
        </w:rPr>
        <w:t xml:space="preserve">28. </w:t>
      </w:r>
      <w:r>
        <w:t xml:space="preserve">Trott, O.; Olson, A. J. AutoDock Vina: Improving the speed and accuracy of docking with a new scoring function, efficient optimization, and multithreading. Journal of Computational Chemistry 2009, 31 (2), 455-461. </w:t>
      </w:r>
      <w:r>
        <w:rPr>
          <w:i/>
          <w:color w:val="4A148C"/>
          <w:sz w:val="18"/>
        </w:rPr>
        <w:t>doi:10.1002/jcc.21334</w:t>
      </w:r>
    </w:p>
    <w:p>
      <w:pPr>
        <w:spacing w:after="60"/>
        <w:ind w:left="576"/>
      </w:pPr>
      <w:r>
        <w:rPr>
          <w:b/>
        </w:rPr>
        <w:t xml:space="preserve">29. </w:t>
      </w:r>
      <w:r>
        <w:t xml:space="preserve">Eberhardt, J.; Santos-Martins, D.; Tillack, A. F.; Forli, S. AutoDock Vina 1.2.0: New Docking Methods, Expanded Force Field, and Python Bindings. Journal of Chemical Information and Modeling 2021, 61 (8), 3891-3898. </w:t>
      </w:r>
      <w:r>
        <w:rPr>
          <w:i/>
          <w:color w:val="4A148C"/>
          <w:sz w:val="18"/>
        </w:rPr>
        <w:t>doi:10.1021/acs.jcim.1c00203</w:t>
      </w:r>
    </w:p>
    <w:p>
      <w:pPr>
        <w:spacing w:after="60"/>
        <w:ind w:left="576"/>
      </w:pPr>
      <w:r>
        <w:rPr>
          <w:b/>
        </w:rPr>
        <w:t xml:space="preserve">30. </w:t>
      </w:r>
      <w:r>
        <w:t xml:space="preserve">Landrum, G. et al. RDKit: Open-source cheminformatics toolkit, version 2024.03.1. https://www.rdkit.org (accessed 2026). </w:t>
      </w:r>
      <w:r>
        <w:rPr>
          <w:i/>
          <w:color w:val="4A148C"/>
          <w:sz w:val="18"/>
        </w:rPr>
        <w:t>doi:10.5281/zenodo.10848032</w:t>
      </w:r>
    </w:p>
    <w:p>
      <w:pPr>
        <w:spacing w:after="60"/>
        <w:ind w:left="576"/>
      </w:pPr>
      <w:r>
        <w:rPr>
          <w:b/>
        </w:rPr>
        <w:t xml:space="preserve">31. </w:t>
      </w:r>
      <w:r>
        <w:t xml:space="preserve">OECD. Guidance Document on the Validation of (Quantitative) Structure-Activity Relationship [(Q)SAR] Models; OECD Environment Health and Safety Publications, Series on Testing and Assessment No. 69; OECD Publishing: Paris, 2007. </w:t>
      </w:r>
      <w:r>
        <w:rPr>
          <w:i/>
          <w:color w:val="4A148C"/>
          <w:sz w:val="18"/>
        </w:rPr>
        <w:t>doi:10.1787/9789264085442-en</w:t>
      </w:r>
    </w:p>
    <w:p>
      <w:pPr>
        <w:spacing w:after="60"/>
        <w:ind w:left="576"/>
      </w:pPr>
      <w:r>
        <w:rPr>
          <w:b/>
        </w:rPr>
        <w:t xml:space="preserve">32. </w:t>
      </w:r>
      <w:r>
        <w:t xml:space="preserve">Gramatica, P. Principles of QSAR models validation: internal and external. QSAR &amp; Combinatorial Science 2007, 26 (5), 694-701. </w:t>
      </w:r>
      <w:r>
        <w:rPr>
          <w:i/>
          <w:color w:val="4A148C"/>
          <w:sz w:val="18"/>
        </w:rPr>
        <w:t>doi:10.1002/qsar.200610151</w:t>
      </w:r>
    </w:p>
    <w:p>
      <w:pPr>
        <w:spacing w:after="60"/>
        <w:ind w:left="576"/>
      </w:pPr>
      <w:r>
        <w:rPr>
          <w:b/>
        </w:rPr>
        <w:t xml:space="preserve">33. </w:t>
      </w:r>
      <w:r>
        <w:t xml:space="preserve">Tropsha, A. Best Practices for QSAR Model Development, Validation, and Exploitation. Molecular Informatics 2010, 29 (6-7), 476-488. </w:t>
      </w:r>
      <w:r>
        <w:rPr>
          <w:i/>
          <w:color w:val="4A148C"/>
          <w:sz w:val="18"/>
        </w:rPr>
        <w:t>doi:10.1002/minf.201000061</w:t>
      </w:r>
    </w:p>
    <w:p>
      <w:pPr>
        <w:spacing w:after="60"/>
        <w:ind w:left="576"/>
      </w:pPr>
      <w:r>
        <w:rPr>
          <w:b/>
        </w:rPr>
        <w:t xml:space="preserve">34. </w:t>
      </w:r>
      <w:r>
        <w:t xml:space="preserve">Rücker, C.; Rücker, G.; Meringer, M. y-Randomization and Its Variants in QSPR/QSAR. Journal of Chemical Information and Modeling 2007, 47 (6), 2345-2357. </w:t>
      </w:r>
      <w:r>
        <w:rPr>
          <w:i/>
          <w:color w:val="4A148C"/>
          <w:sz w:val="18"/>
        </w:rPr>
        <w:t>doi:10.1021/ci700157b</w:t>
      </w:r>
    </w:p>
    <w:p>
      <w:pPr>
        <w:spacing w:after="60"/>
        <w:ind w:left="576"/>
      </w:pPr>
      <w:r>
        <w:rPr>
          <w:b/>
        </w:rPr>
        <w:t xml:space="preserve">35. </w:t>
      </w:r>
      <w:r>
        <w:t xml:space="preserve">Lundberg, S. M.; Lee, S.-I. A unified approach to interpreting model predictions. In Advances in Neural Information Processing Systems 30; Guyon, I. et al., Eds.; Curran Associates, Inc., 2017; pp 4765–4774. arXiv:1705.07874. </w:t>
      </w:r>
    </w:p>
    <w:p>
      <w:pPr>
        <w:spacing w:after="60"/>
        <w:ind w:left="576"/>
      </w:pPr>
      <w:r>
        <w:rPr>
          <w:b/>
        </w:rPr>
        <w:t xml:space="preserve">36. </w:t>
      </w:r>
      <w:r>
        <w:t xml:space="preserve">Parr, R. G.; Pearson, R. G. Absolute hardness: companion parameter to absolute electronegativity. Journal of the American Chemical Society 1983, 105 (26), 7512-7516. </w:t>
      </w:r>
      <w:r>
        <w:rPr>
          <w:i/>
          <w:color w:val="4A148C"/>
          <w:sz w:val="18"/>
        </w:rPr>
        <w:t>doi:10.1021/ja00364a005</w:t>
      </w:r>
    </w:p>
    <w:p>
      <w:pPr>
        <w:spacing w:after="60"/>
        <w:ind w:left="576"/>
      </w:pPr>
      <w:r>
        <w:rPr>
          <w:b/>
        </w:rPr>
        <w:t xml:space="preserve">37. </w:t>
      </w:r>
      <w:r>
        <w:t xml:space="preserve">Parr, R. G.; Szentpály, L. v.; Liu, S. Electrophilicity Index. Journal of the American Chemical Society 1999, 121 (9), 1922-1924. </w:t>
      </w:r>
      <w:r>
        <w:rPr>
          <w:i/>
          <w:color w:val="4A148C"/>
          <w:sz w:val="18"/>
        </w:rPr>
        <w:t>doi:10.1021/ja983494x</w:t>
      </w:r>
    </w:p>
    <w:p>
      <w:pPr>
        <w:spacing w:after="60"/>
        <w:ind w:left="576"/>
      </w:pPr>
      <w:r>
        <w:rPr>
          <w:b/>
        </w:rPr>
        <w:t xml:space="preserve">38. </w:t>
      </w:r>
      <w:r>
        <w:t xml:space="preserve">Hopkins, A. L.; Groom, C. R.; Alex, A. Ligand efficiency: a useful metric for lead selection. Drug Discovery Today 2004, 9 (10), 430-431. </w:t>
      </w:r>
      <w:r>
        <w:rPr>
          <w:i/>
          <w:color w:val="4A148C"/>
          <w:sz w:val="18"/>
        </w:rPr>
        <w:t>doi:10.1016/s1359-6446(04)03069-7</w:t>
      </w:r>
    </w:p>
    <w:p>
      <w:pPr>
        <w:spacing w:after="60"/>
        <w:ind w:left="576"/>
      </w:pPr>
      <w:r>
        <w:rPr>
          <w:b/>
        </w:rPr>
        <w:t xml:space="preserve">39. </w:t>
      </w:r>
      <w:r>
        <w:t xml:space="preserve">Kramer, C.; Gedeck, P. Leave-many-out cross-validation and the applicability domain of QSAR models. J. Chem. Inf. Model. 2012, 52 (3), 697–707. </w:t>
      </w:r>
      <w:r>
        <w:rPr>
          <w:i/>
          <w:color w:val="4A148C"/>
          <w:sz w:val="18"/>
        </w:rPr>
        <w:t>doi:10.1021/ci9003105</w:t>
      </w:r>
    </w:p>
    <w:p>
      <w:pPr>
        <w:spacing w:after="60"/>
        <w:ind w:left="576"/>
      </w:pPr>
      <w:r>
        <w:rPr>
          <w:b/>
        </w:rPr>
        <w:t xml:space="preserve">40. </w:t>
      </w:r>
      <w:r>
        <w:t xml:space="preserve">Cherkasov, A.; Muratov, E. N.; Fourches, D.; Varnek, A.; Baskin, I. I.; Cronin, M.; Dearden, J.; Gramatica, P.; Martin, Y. C.; Todeschini, R.; et al. QSAR Modeling: Where Have You Been? Where Are You Going To?. Journal of Medicinal Chemistry 2014, 57 (12), 4977-5010. </w:t>
      </w:r>
      <w:r>
        <w:rPr>
          <w:i/>
          <w:color w:val="4A148C"/>
          <w:sz w:val="18"/>
        </w:rPr>
        <w:t>doi:10.1021/jm4004285</w:t>
      </w:r>
    </w:p>
    <w:p>
      <w:pPr>
        <w:spacing w:after="60"/>
        <w:ind w:left="576"/>
      </w:pPr>
      <w:r>
        <w:rPr>
          <w:b/>
        </w:rPr>
        <w:t xml:space="preserve">41. </w:t>
      </w:r>
      <w:r>
        <w:t xml:space="preserve">Veber, D. F.; Johnson, S. R.; Cheng, H. Y.; Smith, B. R.; Ward, K. W.; Kopple, K. D. Molecular Properties That Influence the Oral Bioavailability of Drug Candidates. Journal of Medicinal Chemistry 2002, 45 (12), 2615-2623. </w:t>
      </w:r>
      <w:r>
        <w:rPr>
          <w:i/>
          <w:color w:val="4A148C"/>
          <w:sz w:val="18"/>
        </w:rPr>
        <w:t>doi:10.1021/jm020017n</w:t>
      </w:r>
    </w:p>
    <w:p>
      <w:pPr>
        <w:spacing w:after="60"/>
        <w:ind w:left="576"/>
      </w:pPr>
      <w:r>
        <w:rPr>
          <w:b/>
        </w:rPr>
        <w:t xml:space="preserve">42. </w:t>
      </w:r>
      <w:r>
        <w:t xml:space="preserve">Lipinski, C. A.; Lombardo, F.; Dominy, B. W.; Feeney, P. J. Experimental and computational approaches to estimate solubility and permeability in drug discovery and development settings 1PII of original article: S0169-409X(96)00423-1. The article was originally published in Advanced Drug Delivery Reviews 23 (1997) 3–25. 1. Advanced Drug Delivery Reviews 2001, 46 (1-3), 3-26. </w:t>
      </w:r>
      <w:r>
        <w:rPr>
          <w:i/>
          <w:color w:val="4A148C"/>
          <w:sz w:val="18"/>
        </w:rPr>
        <w:t>doi:10.1016/s0169-409x(00)00129-0</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color w:val="212121"/>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