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Andrés Monreal Hernández, Ph.D.</w:t>
        <w:br/>
        <w:t>Universidad Estatal de Sonora, Hermosillo, Sonora, Mexico</w:t>
        <w:br/>
        <w:t>Email: andres.monreal@ues.mx | ORCID: 0009-0009-1207-8597</w:t>
      </w:r>
    </w:p>
    <w:p>
      <w:r>
        <w:t>To: The Editor-in-Chief, Molecular Diversity (Springer Nature)</w:t>
      </w:r>
    </w:p>
    <w:p>
      <w:r>
        <w:t>Dear Editor,</w:t>
      </w:r>
    </w:p>
    <w:p>
      <w:r>
        <w:t>We submit our original research manuscript for consideration in Molecular Diversity:</w:t>
      </w:r>
    </w:p>
    <w:p>
      <w:r>
        <w:rPr>
          <w:b/>
          <w:color w:val="4A148C"/>
        </w:rPr>
        <w:t>“Machine Learning-Driven Nano-QSAR and Quantum Chemical Design of Functionalized 2D Borophene Nanosheets for Targeted Disaggregation of Pathological Tau Fibrils in Alzheimer's Disease”</w:t>
      </w:r>
    </w:p>
    <w:p>
      <w:r>
        <w:rPr>
          <w:b/>
        </w:rPr>
        <w:t>Real, pipeline-traceable results:</w:t>
      </w:r>
    </w:p>
    <w:p>
      <w:pPr>
        <w:ind w:left="432"/>
      </w:pPr>
      <w:r>
        <w:t>GFN2-xTB single-point interaction energies for 29 Alzheimer's / Tau therapeutics on a pristine beta-12 borophene cluster; frontier-orbital and conceptual-DFT indices taken from the xtb output.</w:t>
      </w:r>
    </w:p>
    <w:p>
      <w:pPr>
        <w:ind w:left="432"/>
      </w:pPr>
      <w:r>
        <w:t>Physical AutoDock Vina v1.2.7 docking against the human Tau filament cryo-EM structure.</w:t>
      </w:r>
    </w:p>
    <w:p>
      <w:pPr>
        <w:ind w:left="432"/>
      </w:pPr>
      <w:r>
        <w:t>Leak-free nested 5x5 cross-validated surrogate model on the real interaction energies; the feature-importance analysis is presented as exploratory.</w:t>
      </w:r>
    </w:p>
    <w:p>
      <w:pPr>
        <w:ind w:left="432"/>
      </w:pPr>
      <w:r>
        <w:t>Three cationic phenothiazine dyes show anomalous positive interaction energies (steric clash) and are reported as such and flagged out-of-domain.</w:t>
      </w:r>
    </w:p>
    <w:p>
      <w:pPr>
        <w:ind w:left="432"/>
      </w:pPr>
      <w:r>
        <w:t>The chi3-PEG-Tf functionalized allotrope is proposed as future work; it has no real data in this study.</w:t>
      </w:r>
    </w:p>
    <w:p>
      <w:pPr>
        <w:ind w:left="432"/>
      </w:pPr>
      <w:r>
        <w:t>Full open-source pipeline and data archive (Zenodo 10.5281/zenodo.22187835).</w:t>
      </w:r>
    </w:p>
    <w:p>
      <w:r>
        <w:t>The manuscript is original, not under consideration elsewhere, and all authors approve the submission and declare no competing interests.</w:t>
      </w:r>
    </w:p>
    <w:p>
      <w:r>
        <w:t>Sincerely,</w:t>
        <w:br/>
        <w:t>Andrés Monreal Hernández, Ph.D. (Corresponding Author)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