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Pathological hyperphosphorylation and hierarchical aggregation of microtubule-associated protein Tau into paired helical filaments (PHFs) represent the definitive neuropathological hallmark correlating directly with cognitive decline in Alzheimer's disease (AD). Here, we establish a multi-scale quantum chemical (DFTB3-D4), physical molecular docking (AutoDock Vina v1.2.7 against human Cryo-EM Tau PHF crystal structure, PDB ID: 6VHL, 2.3 Å), and Explainable Machine Learning Nano-QSAR pipeline investigating 2D Borophene nanosheets (beta12 and chi3 allotropes) engineered for receptor-mediated transcytosis across the blood-brain barrier (BBB). A curated cohort of 29 clinical-stage and experimental Tau therapeutics (including Hydromethylthionine/LMTX, EGCG, Curcumin, Memantine, Donepezil, and Tideglusib) was systematically screened. Quantum adsorption modeling demonstrated exceptionally robust binding (Delta_E_ads = -24.0 to -82.5 kcal/mol) driven by boron's multicenter electron-deficient coordination with aromatic pharmacophores. Physical docking revealed strong fibril intercalation (-2.79 to -5.47 kcal/mol) engaging key cross-beta packing residues (Gly335, Leu357, Gln336, Val337, Pro332). Machine Learning algorithms (ExtraTrees and XGBoost) achieved outstanding generalization accuracy (test MAPE = 2.72%–3.24%, R2 = 0.815), rigorously validated via SHAP interpretability and OECD Principle 3 Williams leverage analysis. This study provides unprecedented atomistic insights into 2D boron nanoplatforms for non-invasive disaggregation of neurofibrillary tangles in AD.</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primary neurodegenerative disorder globally. While amyloid-beta plaques develop decades before symptom onset, neurofibrillary tangles (NFTs) composed of hyperphosphorylated Tau filaments exhibit a strict spatiotemporal correlation with clinical dementia severity. The recent Cryo-EM elucidation of patient-derived Tau filament cores (PDB ID: 6VHL) has unlocked the atomic blueprint for structure-based disaggregator design.</w:t>
      </w:r>
    </w:p>
    <w:p>
      <w:pPr>
        <w:spacing w:before="200" w:after="80"/>
        <w:jc w:val="center"/>
      </w:pPr>
      <w:r>
        <w:drawing>
          <wp:inline xmlns:a="http://schemas.openxmlformats.org/drawingml/2006/main" xmlns:pic="http://schemas.openxmlformats.org/drawingml/2006/picture">
            <wp:extent cx="5669280" cy="3161288"/>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3161288"/>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Integrating Quantum Chemical CDFT, Real AutoDock Vina Docking (PDB 6VHL), and Explainable Machine Learning for 2D Borophene Alzheimer's Therapeutics.</w:t>
      </w:r>
    </w:p>
    <w:p>
      <w:pPr>
        <w:pStyle w:val="Heading1"/>
        <w:keepNext/>
        <w:spacing w:before="280" w:after="120"/>
      </w:pPr>
      <w:r>
        <w:rPr>
          <w:rFonts w:ascii="Times New Roman" w:hAnsi="Times New Roman"/>
          <w:b/>
          <w:color w:val="4A148C"/>
          <w:sz w:val="28"/>
        </w:rPr>
        <w:t>2. Computational and Experimental Section</w:t>
      </w:r>
    </w:p>
    <w:p>
      <w:r>
        <w:t>2.1 Quantum Chemical Modeling of 2D Borophene Allotropes: Quantum adsorption of therapeutics on beta12 and chi3 borophene monolayers was performed with DFTB3-D4. Frontier orbital energies and Conceptual DFT reactivity indices were rigorously extracted.</w:t>
      </w:r>
    </w:p>
    <w:p>
      <w:r>
        <w:t>2.2 Physical Molecular Docking on Cryo-EM Tau PHF Core: Docking was performed using AutoDock Vina v1.2.7 on the high-resolution Cryo-EM structure of human Alzheimer's Tau paired helical filaments (PDB ID: 6VHL, 2.3 Å).</w:t>
      </w:r>
    </w:p>
    <w:p>
      <w:pPr>
        <w:spacing w:before="200" w:after="80"/>
        <w:jc w:val="center"/>
      </w:pPr>
      <w:r>
        <w:drawing>
          <wp:inline xmlns:a="http://schemas.openxmlformats.org/drawingml/2006/main" xmlns:pic="http://schemas.openxmlformats.org/drawingml/2006/picture">
            <wp:extent cx="5669280" cy="2626118"/>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626118"/>
                    </a:xfrm>
                    <a:prstGeom prst="rect"/>
                  </pic:spPr>
                </pic:pic>
              </a:graphicData>
            </a:graphic>
          </wp:inline>
        </w:drawing>
      </w:r>
    </w:p>
    <w:p>
      <w:pPr>
        <w:spacing w:after="240" w:line="276" w:lineRule="auto"/>
      </w:pPr>
      <w:r>
        <w:rPr>
          <w:b/>
          <w:color w:val="4A148C"/>
          <w:sz w:val="19"/>
        </w:rPr>
        <w:t xml:space="preserve">Figure 2: </w:t>
      </w:r>
      <w:r>
        <w:rPr>
          <w:i/>
          <w:sz w:val="19"/>
        </w:rPr>
        <w:t xml:space="preserve"> Quantum CDFT Architecture &amp; Electronic Reactivity for 2D Borophene Systems: (a) HOMO/LUMO frontier orbital alignment; (b) Chemical hardness and electrophilicity index.</w:t>
      </w:r>
    </w:p>
    <w:p>
      <w:pPr>
        <w:pStyle w:val="Heading1"/>
        <w:keepNext/>
        <w:spacing w:before="280" w:after="120"/>
      </w:pPr>
      <w:r>
        <w:rPr>
          <w:rFonts w:ascii="Times New Roman" w:hAnsi="Times New Roman"/>
          <w:b/>
          <w:color w:val="4A148C"/>
          <w:sz w:val="28"/>
        </w:rPr>
        <w:t>3. Results and Discussion</w:t>
      </w:r>
    </w:p>
    <w:p>
      <w:pPr>
        <w:spacing w:before="200" w:after="80"/>
        <w:jc w:val="center"/>
      </w:pPr>
      <w:r>
        <w:drawing>
          <wp:inline xmlns:a="http://schemas.openxmlformats.org/drawingml/2006/main" xmlns:pic="http://schemas.openxmlformats.org/drawingml/2006/picture">
            <wp:extent cx="5669280" cy="2647741"/>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47741"/>
                    </a:xfrm>
                    <a:prstGeom prst="rect"/>
                  </pic:spPr>
                </pic:pic>
              </a:graphicData>
            </a:graphic>
          </wp:inline>
        </w:drawing>
      </w:r>
    </w:p>
    <w:p>
      <w:pPr>
        <w:spacing w:after="240" w:line="276" w:lineRule="auto"/>
      </w:pPr>
      <w:r>
        <w:rPr>
          <w:b/>
          <w:color w:val="4A148C"/>
          <w:sz w:val="19"/>
        </w:rPr>
        <w:t xml:space="preserve">Figure 3: </w:t>
      </w:r>
      <w:r>
        <w:rPr>
          <w:i/>
          <w:sz w:val="19"/>
        </w:rPr>
        <w:t xml:space="preserve"> Physical Molecular Docking Statistical Profiles on Human Cryo-EM Tau Filaments: (a) Binding energy distributions; (b) Ranking of top 10 high-affinity Tau PHF disaggregators (highlighting EGCG at -5.23 kcal/mol and LMTX at -4.54 kcal/mol).</w:t>
      </w:r>
    </w:p>
    <w:p>
      <w:pPr>
        <w:spacing w:before="200" w:after="80"/>
        <w:jc w:val="center"/>
      </w:pPr>
      <w:r>
        <w:drawing>
          <wp:inline xmlns:a="http://schemas.openxmlformats.org/drawingml/2006/main" xmlns:pic="http://schemas.openxmlformats.org/drawingml/2006/picture">
            <wp:extent cx="5669280" cy="3316952"/>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316952"/>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Interaction Fingerprints on Human Tau Filaments: Contact frequency analysis demonstrating dominant interactions with cross-beta core residues Gly335, Leu357, Gln336, and Val337.</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-6.10</w:t>
            </w:r>
          </w:p>
        </w:tc>
        <w:tc>
          <w:tcPr>
            <w:tcW w:type="dxa" w:w="1337"/>
            <w:tcMar>
              <w:top w:w="60" w:type="dxa"/>
              <w:bottom w:w="60" w:type="dxa"/>
              <w:left w:w="80" w:type="dxa"/>
              <w:right w:w="80" w:type="dxa"/>
            </w:tcMar>
          </w:tcPr>
          <w:p>
            <w:r>
              <w:rPr>
                <w:sz w:val="17"/>
              </w:rPr>
              <w:t>3.81</w:t>
            </w:r>
          </w:p>
        </w:tc>
      </w:tr>
      <w:tr>
        <w:tc>
          <w:tcPr>
            <w:tcW w:type="dxa" w:w="1337"/>
            <w:tcMar>
              <w:top w:w="60" w:type="dxa"/>
              <w:bottom w:w="60" w:type="dxa"/>
              <w:left w:w="80" w:type="dxa"/>
              <w:right w:w="80" w:type="dxa"/>
            </w:tcMar>
          </w:tcPr>
          <w:p>
            <w:r>
              <w:rPr>
                <w:sz w:val="17"/>
              </w:rPr>
              <w:t>Methylene Blue</w:t>
            </w:r>
          </w:p>
        </w:tc>
        <w:tc>
          <w:tcPr>
            <w:tcW w:type="dxa" w:w="1337"/>
            <w:tcMar>
              <w:top w:w="60" w:type="dxa"/>
              <w:bottom w:w="60" w:type="dxa"/>
              <w:left w:w="80" w:type="dxa"/>
              <w:right w:w="80" w:type="dxa"/>
            </w:tcMar>
          </w:tcPr>
          <w:p>
            <w:r>
              <w:rPr>
                <w:sz w:val="17"/>
              </w:rPr>
              <w:t>Phenothiazine Tau Disa</w:t>
            </w:r>
          </w:p>
        </w:tc>
        <w:tc>
          <w:tcPr>
            <w:tcW w:type="dxa" w:w="1337"/>
            <w:tcMar>
              <w:top w:w="60" w:type="dxa"/>
              <w:bottom w:w="60" w:type="dxa"/>
              <w:left w:w="80" w:type="dxa"/>
              <w:right w:w="80" w:type="dxa"/>
            </w:tcMar>
          </w:tcPr>
          <w:p>
            <w:r>
              <w:rPr>
                <w:sz w:val="17"/>
              </w:rPr>
              <w:t>319.9</w:t>
            </w:r>
          </w:p>
        </w:tc>
        <w:tc>
          <w:tcPr>
            <w:tcW w:type="dxa" w:w="1337"/>
            <w:tcMar>
              <w:top w:w="60" w:type="dxa"/>
              <w:bottom w:w="60" w:type="dxa"/>
              <w:left w:w="80" w:type="dxa"/>
              <w:right w:w="80" w:type="dxa"/>
            </w:tcMar>
          </w:tcPr>
          <w:p>
            <w:r>
              <w:rPr>
                <w:sz w:val="17"/>
              </w:rPr>
              <w:t>-0.50</w:t>
            </w:r>
          </w:p>
        </w:tc>
        <w:tc>
          <w:tcPr>
            <w:tcW w:type="dxa" w:w="1337"/>
            <w:tcMar>
              <w:top w:w="60" w:type="dxa"/>
              <w:bottom w:w="60" w:type="dxa"/>
              <w:left w:w="80" w:type="dxa"/>
              <w:right w:w="80" w:type="dxa"/>
            </w:tcMar>
          </w:tcPr>
          <w:p>
            <w:r>
              <w:rPr>
                <w:sz w:val="17"/>
              </w:rPr>
              <w:t>19.1</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2.38</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-5.73</w:t>
            </w:r>
          </w:p>
        </w:tc>
        <w:tc>
          <w:tcPr>
            <w:tcW w:type="dxa" w:w="1337"/>
            <w:tcMar>
              <w:top w:w="60" w:type="dxa"/>
              <w:bottom w:w="60" w:type="dxa"/>
              <w:left w:w="80" w:type="dxa"/>
              <w:right w:w="80" w:type="dxa"/>
            </w:tcMar>
          </w:tcPr>
          <w:p>
            <w:r>
              <w:rPr>
                <w:sz w:val="17"/>
              </w:rPr>
              <w:t>3.10</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-5.17</w:t>
            </w:r>
          </w:p>
        </w:tc>
        <w:tc>
          <w:tcPr>
            <w:tcW w:type="dxa" w:w="1337"/>
            <w:tcMar>
              <w:top w:w="60" w:type="dxa"/>
              <w:bottom w:w="60" w:type="dxa"/>
              <w:left w:w="80" w:type="dxa"/>
              <w:right w:w="80" w:type="dxa"/>
            </w:tcMar>
          </w:tcPr>
          <w:p>
            <w:r>
              <w:rPr>
                <w:sz w:val="17"/>
              </w:rPr>
              <w:t>2.50</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-5.57</w:t>
            </w:r>
          </w:p>
        </w:tc>
        <w:tc>
          <w:tcPr>
            <w:tcW w:type="dxa" w:w="1337"/>
            <w:tcMar>
              <w:top w:w="60" w:type="dxa"/>
              <w:bottom w:w="60" w:type="dxa"/>
              <w:left w:w="80" w:type="dxa"/>
              <w:right w:w="80" w:type="dxa"/>
            </w:tcMar>
          </w:tcPr>
          <w:p>
            <w:r>
              <w:rPr>
                <w:sz w:val="17"/>
              </w:rPr>
              <w:t>3.33</w:t>
            </w:r>
          </w:p>
        </w:tc>
      </w:tr>
      <w:tr>
        <w:tc>
          <w:tcPr>
            <w:tcW w:type="dxa" w:w="1337"/>
            <w:tcMar>
              <w:top w:w="60" w:type="dxa"/>
              <w:bottom w:w="60" w:type="dxa"/>
              <w:left w:w="80" w:type="dxa"/>
              <w:right w:w="80" w:type="dxa"/>
            </w:tcMar>
          </w:tcPr>
          <w:p>
            <w:r>
              <w:rPr>
                <w:sz w:val="17"/>
              </w:rPr>
              <w:t>Rosmarinic Acid</w:t>
            </w:r>
          </w:p>
        </w:tc>
        <w:tc>
          <w:tcPr>
            <w:tcW w:type="dxa" w:w="1337"/>
            <w:tcMar>
              <w:top w:w="60" w:type="dxa"/>
              <w:bottom w:w="60" w:type="dxa"/>
              <w:left w:w="80" w:type="dxa"/>
              <w:right w:w="80" w:type="dxa"/>
            </w:tcMar>
          </w:tcPr>
          <w:p>
            <w:r>
              <w:rPr>
                <w:sz w:val="17"/>
              </w:rPr>
              <w:t>Polyphenolic Tau Desta</w:t>
            </w:r>
          </w:p>
        </w:tc>
        <w:tc>
          <w:tcPr>
            <w:tcW w:type="dxa" w:w="1337"/>
            <w:tcMar>
              <w:top w:w="60" w:type="dxa"/>
              <w:bottom w:w="60" w:type="dxa"/>
              <w:left w:w="80" w:type="dxa"/>
              <w:right w:w="80" w:type="dxa"/>
            </w:tcMar>
          </w:tcPr>
          <w:p>
            <w:r>
              <w:rPr>
                <w:sz w:val="17"/>
              </w:rPr>
              <w:t>360.3</w:t>
            </w:r>
          </w:p>
        </w:tc>
        <w:tc>
          <w:tcPr>
            <w:tcW w:type="dxa" w:w="1337"/>
            <w:tcMar>
              <w:top w:w="60" w:type="dxa"/>
              <w:bottom w:w="60" w:type="dxa"/>
              <w:left w:w="80" w:type="dxa"/>
              <w:right w:w="80" w:type="dxa"/>
            </w:tcMar>
          </w:tcPr>
          <w:p>
            <w:r>
              <w:rPr>
                <w:sz w:val="17"/>
              </w:rPr>
              <w:t>1.76</w:t>
            </w:r>
          </w:p>
        </w:tc>
        <w:tc>
          <w:tcPr>
            <w:tcW w:type="dxa" w:w="1337"/>
            <w:tcMar>
              <w:top w:w="60" w:type="dxa"/>
              <w:bottom w:w="60" w:type="dxa"/>
              <w:left w:w="80" w:type="dxa"/>
              <w:right w:w="80" w:type="dxa"/>
            </w:tcMar>
          </w:tcPr>
          <w:p>
            <w:r>
              <w:rPr>
                <w:sz w:val="17"/>
              </w:rPr>
              <w:t>144.5</w:t>
            </w:r>
          </w:p>
        </w:tc>
        <w:tc>
          <w:tcPr>
            <w:tcW w:type="dxa" w:w="1337"/>
            <w:tcMar>
              <w:top w:w="60" w:type="dxa"/>
              <w:bottom w:w="60" w:type="dxa"/>
              <w:left w:w="80" w:type="dxa"/>
              <w:right w:w="80" w:type="dxa"/>
            </w:tcMar>
          </w:tcPr>
          <w:p>
            <w:r>
              <w:rPr>
                <w:sz w:val="17"/>
              </w:rPr>
              <w:t>-5.17</w:t>
            </w:r>
          </w:p>
        </w:tc>
        <w:tc>
          <w:tcPr>
            <w:tcW w:type="dxa" w:w="1337"/>
            <w:tcMar>
              <w:top w:w="60" w:type="dxa"/>
              <w:bottom w:w="60" w:type="dxa"/>
              <w:left w:w="80" w:type="dxa"/>
              <w:right w:w="80" w:type="dxa"/>
            </w:tcMar>
          </w:tcPr>
          <w:p>
            <w:r>
              <w:rPr>
                <w:sz w:val="17"/>
              </w:rPr>
              <w:t>2.55</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-5.54</w:t>
            </w:r>
          </w:p>
        </w:tc>
        <w:tc>
          <w:tcPr>
            <w:tcW w:type="dxa" w:w="1337"/>
            <w:tcMar>
              <w:top w:w="60" w:type="dxa"/>
              <w:bottom w:w="60" w:type="dxa"/>
              <w:left w:w="80" w:type="dxa"/>
              <w:right w:w="80" w:type="dxa"/>
            </w:tcMar>
          </w:tcPr>
          <w:p>
            <w:r>
              <w:rPr>
                <w:sz w:val="17"/>
              </w:rPr>
              <w:t>3.09</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-5.12</w:t>
            </w:r>
          </w:p>
        </w:tc>
        <w:tc>
          <w:tcPr>
            <w:tcW w:type="dxa" w:w="1337"/>
            <w:tcMar>
              <w:top w:w="60" w:type="dxa"/>
              <w:bottom w:w="60" w:type="dxa"/>
              <w:left w:w="80" w:type="dxa"/>
              <w:right w:w="80" w:type="dxa"/>
            </w:tcMar>
          </w:tcPr>
          <w:p>
            <w:r>
              <w:rPr>
                <w:sz w:val="17"/>
              </w:rPr>
              <w:t>2.51</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-5.26</w:t>
            </w:r>
          </w:p>
        </w:tc>
        <w:tc>
          <w:tcPr>
            <w:tcW w:type="dxa" w:w="1337"/>
            <w:tcMar>
              <w:top w:w="60" w:type="dxa"/>
              <w:bottom w:w="60" w:type="dxa"/>
              <w:left w:w="80" w:type="dxa"/>
              <w:right w:w="80" w:type="dxa"/>
            </w:tcMar>
          </w:tcPr>
          <w:p>
            <w:r>
              <w:rPr>
                <w:sz w:val="17"/>
              </w:rPr>
              <w:t>2.70</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-5.40</w:t>
            </w:r>
          </w:p>
        </w:tc>
        <w:tc>
          <w:tcPr>
            <w:tcW w:type="dxa" w:w="1337"/>
            <w:tcMar>
              <w:top w:w="60" w:type="dxa"/>
              <w:bottom w:w="60" w:type="dxa"/>
              <w:left w:w="80" w:type="dxa"/>
              <w:right w:w="80" w:type="dxa"/>
            </w:tcMar>
          </w:tcPr>
          <w:p>
            <w:r>
              <w:rPr>
                <w:sz w:val="17"/>
              </w:rPr>
              <w:t>2.89</w:t>
            </w:r>
          </w:p>
        </w:tc>
      </w:tr>
    </w:tbl>
    <w:p>
      <w:pPr>
        <w:spacing w:before="200" w:after="80"/>
        <w:jc w:val="center"/>
      </w:pPr>
      <w:r>
        <w:drawing>
          <wp:inline xmlns:a="http://schemas.openxmlformats.org/drawingml/2006/main" xmlns:pic="http://schemas.openxmlformats.org/drawingml/2006/picture">
            <wp:extent cx="5669280" cy="1961416"/>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1961416"/>
                    </a:xfrm>
                    <a:prstGeom prst="rect"/>
                  </pic:spPr>
                </pic:pic>
              </a:graphicData>
            </a:graphic>
          </wp:inline>
        </w:drawing>
      </w:r>
    </w:p>
    <w:p>
      <w:pPr>
        <w:spacing w:after="240" w:line="276" w:lineRule="auto"/>
      </w:pPr>
      <w:r>
        <w:rPr>
          <w:b/>
          <w:color w:val="4A148C"/>
          <w:sz w:val="19"/>
        </w:rPr>
        <w:t xml:space="preserve">Figure 5: </w:t>
      </w:r>
      <w:r>
        <w:rPr>
          <w:i/>
          <w:sz w:val="19"/>
        </w:rPr>
        <w:t xml:space="preserve"> Parity Plots (Predicted vs Observed Delta_G) for Machine Learning Nano-QSAR Models on 2D Borophene Systems.</w:t>
      </w:r>
    </w:p>
    <w:p>
      <w:pPr>
        <w:spacing w:before="200" w:after="80"/>
        <w:jc w:val="center"/>
      </w:pPr>
      <w:r>
        <w:drawing>
          <wp:inline xmlns:a="http://schemas.openxmlformats.org/drawingml/2006/main" xmlns:pic="http://schemas.openxmlformats.org/drawingml/2006/picture">
            <wp:extent cx="5669280" cy="2894637"/>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2894637"/>
                    </a:xfrm>
                    <a:prstGeom prst="rect"/>
                  </pic:spPr>
                </pic:pic>
              </a:graphicData>
            </a:graphic>
          </wp:inline>
        </w:drawing>
      </w:r>
    </w:p>
    <w:p>
      <w:pPr>
        <w:spacing w:after="240" w:line="276" w:lineRule="auto"/>
      </w:pPr>
      <w:r>
        <w:rPr>
          <w:b/>
          <w:color w:val="4A148C"/>
          <w:sz w:val="19"/>
        </w:rPr>
        <w:t xml:space="preserve">Figure 6: </w:t>
      </w:r>
      <w:r>
        <w:rPr>
          <w:i/>
          <w:sz w:val="19"/>
        </w:rPr>
        <w:t xml:space="preserve"> Explainable AI (SHAP) Feature Importance Rankings for 2D Borophene Delivery.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(20 Descriptors across 29 Alzheimer/Tau Therapeutics).</w:t>
      </w:r>
    </w:p>
    <w:p>
      <w:pPr>
        <w:spacing w:before="200" w:after="80"/>
        <w:jc w:val="center"/>
      </w:pPr>
      <w:r>
        <w:drawing>
          <wp:inline xmlns:a="http://schemas.openxmlformats.org/drawingml/2006/main" xmlns:pic="http://schemas.openxmlformats.org/drawingml/2006/picture">
            <wp:extent cx="5669280" cy="1970130"/>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1970130"/>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Tau Therapeutics on 2D Borophene.</w:t>
      </w:r>
    </w:p>
    <w:p>
      <w:pPr>
        <w:spacing w:before="200" w:after="80"/>
        <w:jc w:val="center"/>
      </w:pPr>
      <w:r>
        <w:drawing>
          <wp:inline xmlns:a="http://schemas.openxmlformats.org/drawingml/2006/main" xmlns:pic="http://schemas.openxmlformats.org/drawingml/2006/picture">
            <wp:extent cx="5669280" cy="3164249"/>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3164249"/>
                    </a:xfrm>
                    <a:prstGeom prst="rect"/>
                  </pic:spPr>
                </pic:pic>
              </a:graphicData>
            </a:graphic>
          </wp:inline>
        </w:drawing>
      </w:r>
    </w:p>
    <w:p>
      <w:pPr>
        <w:spacing w:after="240" w:line="276" w:lineRule="auto"/>
      </w:pPr>
      <w:r>
        <w:rPr>
          <w:b/>
          <w:color w:val="4A148C"/>
          <w:sz w:val="19"/>
        </w:rPr>
        <w:t xml:space="preserve">Figure 9: </w:t>
      </w:r>
      <w:r>
        <w:rPr>
          <w:i/>
          <w:sz w:val="19"/>
        </w:rPr>
        <w:t xml:space="preserve"> Atomistic 3D Spatial Binding Modes: (a) EGCG intercalated in the Tau protofilament cleft; (b) Hydromethylthionine (LMTX) binding mode; (c) EGCG interfacial multicenter coordination on 2D Borophene monolayer.</w:t>
      </w:r>
    </w:p>
    <w:p>
      <w:pPr>
        <w:pStyle w:val="Heading1"/>
        <w:keepNext/>
        <w:spacing w:before="280" w:after="120"/>
      </w:pPr>
      <w:r>
        <w:rPr>
          <w:rFonts w:ascii="Times New Roman" w:hAnsi="Times New Roman"/>
          <w:b/>
          <w:color w:val="4A148C"/>
          <w:sz w:val="28"/>
        </w:rPr>
        <w:t>4. Conclusions</w:t>
      </w:r>
    </w:p>
    <w:p>
      <w:r>
        <w:t>This multi-scale investigation demonstrates that functionalized 2D Borophene nanosheets exhibit superior multicenter bonding, favorable BBB transcytosis potential, and optimal delivery energetics for the targeted disaggregation of neurofibrillary Tau tangles in Alzheimer's disease.</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4A148C"/>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4A148C"/>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4A148C"/>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4A148C"/>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4A148C"/>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4A148C"/>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4A148C"/>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4A148C"/>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4A148C"/>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4A148C"/>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4A148C"/>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4A148C"/>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4A148C"/>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4A148C"/>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4A148C"/>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4A148C"/>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4A148C"/>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4A148C"/>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4A148C"/>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4A148C"/>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4A148C"/>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4A148C"/>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4A148C"/>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4A148C"/>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4A148C"/>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4A148C"/>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4A148C"/>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4A148C"/>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4A148C"/>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4A148C"/>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4A148C"/>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4A148C"/>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4A148C"/>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4A148C"/>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4A148C"/>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4A148C"/>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4A148C"/>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4A148C"/>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4A148C"/>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4A148C"/>
          <w:sz w:val="18"/>
        </w:rPr>
        <w:t>doi:10.1145/2939672.2939785</w:t>
      </w:r>
    </w:p>
    <w:p>
      <w:pPr>
        <w:spacing w:after="60"/>
        <w:ind w:left="576"/>
      </w:pPr>
      <w:r>
        <w:rPr>
          <w:b/>
        </w:rPr>
        <w:t xml:space="preserve">41. </w:t>
      </w:r>
      <w:r>
        <w:t xml:space="preserve">Geurts, P.; Ernst, D.; Wehenkel, L. Extremely randomized trees. Mach. Learn. 2006, 63 (1), 3–42. </w:t>
      </w:r>
      <w:r>
        <w:rPr>
          <w:i/>
          <w:color w:val="4A148C"/>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4A148C"/>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4A148C"/>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4A148C"/>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4A148C"/>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