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4A148C"/>
          <w:sz w:val="28"/>
        </w:rPr>
        <w:t>SUPPORTING INFORMATION</w:t>
        <w:br/>
        <w:t>Machine Learning-Driven Nano-QSAR and Quantum Chemical Design of Functionalized 2D Borophene Nanosheets for Targeted Disaggregation of Pathological Tau Fibrils in Alzheimer's Disease</w:t>
      </w:r>
    </w:p>
    <w:p>
      <w:r>
        <w:rPr>
          <w:i/>
          <w:sz w:val="20"/>
        </w:rPr>
        <w:t>Andrés Monreal Hernández, Sara Lizbeth Franco Amaya, and Carlos Ivanhoe Martínez Osorio</w:t>
      </w:r>
    </w:p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4A148C"/>
          <w:sz w:val="24"/>
        </w:rPr>
        <w:t>Section S1: 2D Metallic beta-12 Borophene Molecular Cluster Architecture, Topology, and Cartesian Coordinates</w:t>
      </w:r>
    </w:p>
    <w:p>
      <w:r>
        <w:t>Chemical Construction and Polymorph Specifications:</w:t>
        <w:br/>
        <w:t>The 2D metallic borophene nanocarrier is modeled as a planar monolayer cluster of the beta-12 polymorph containing 48 boron atoms (B48). The beta-12 lattice features a periodic arrangement of triangular boron coordination with hexagonal hollow vacancy sites (hollow fraction eta = 1/6 = 16.7%), imparting high in-plane metallic conductivity, strong out-of-plane polarizability, and delocalized multi-center multicenter boron-boron bonding. Hydrogen edge-passivated (B48H12) and carboxylated functional forms (B48-COOH) were constructed to evaluate electrostatic modulation and surface anchoring onto Tau protofilaments.</w:t>
      </w:r>
    </w:p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4A148C"/>
          <w:sz w:val="24"/>
        </w:rPr>
        <w:t>Section S2: Computational Software Versions and Open-Source Repository Specifications</w:t>
      </w:r>
    </w:p>
    <w:p>
      <w:r>
        <w:t>All calculations were conducted within a strictly tracked computational ecosystem:</w:t>
        <w:br/>
        <w:t>• AutoDock Vina v1.2.7 (Scripps Research Institute)</w:t>
        <w:br/>
        <w:t>• GFN2-xTB v6.7.1 &amp; GFN1-xTB (Grimme Group, Universität Bonn)</w:t>
        <w:br/>
        <w:t>• ORCA Quantum Chemistry Program v6.1.1 (B3LYP-D3BJ / def2-SVP, TightSCF)</w:t>
        <w:br/>
        <w:t>• ChemAxon Calculator Plugin (cxcalc pKa, v23.18.0, MarvinBeans)</w:t>
        <w:br/>
        <w:t>• RDKit v2024.03.1 &amp; Meeko v0.5.0</w:t>
        <w:br/>
        <w:t>• Scikit-learn v1.4.2, SciPy v1.13.0, and SHAP v0.45.0</w:t>
        <w:br/>
        <w:t>• Primary GitHub Codebase: https://github.com/sircalch/borophene-alzheimer-tau-ai</w:t>
        <w:br/>
        <w:t>• Permanent Zenodo Archival DOI: 10.5281/zenodo.22187835</w:t>
      </w:r>
    </w:p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4A148C"/>
          <w:sz w:val="24"/>
        </w:rPr>
        <w:t>Table S1: Full Dataset of Curated Anti-Tau Therapeutics (N=30): Docking Scores, Ligand Efficiency, and GFN2-xTB Interaction Energies.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4A148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1419"/>
            <w:shd w:fill="4A148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Class</w:t>
            </w:r>
          </w:p>
        </w:tc>
        <w:tc>
          <w:tcPr>
            <w:tcW w:type="dxa" w:w="1419"/>
            <w:shd w:fill="4A148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MW (g/mol)</w:t>
            </w:r>
          </w:p>
        </w:tc>
        <w:tc>
          <w:tcPr>
            <w:tcW w:type="dxa" w:w="1419"/>
            <w:shd w:fill="4A148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Tau Vina (kcal/mol)</w:t>
            </w:r>
          </w:p>
        </w:tc>
        <w:tc>
          <w:tcPr>
            <w:tcW w:type="dxa" w:w="1419"/>
            <w:shd w:fill="4A148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LE (kcal/mol/atom)</w:t>
            </w:r>
          </w:p>
        </w:tc>
        <w:tc>
          <w:tcPr>
            <w:tcW w:type="dxa" w:w="1419"/>
            <w:shd w:fill="4A148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Alpha (Bohr³)</w:t>
            </w:r>
          </w:p>
        </w:tc>
        <w:tc>
          <w:tcPr>
            <w:tcW w:type="dxa" w:w="1419"/>
            <w:shd w:fill="4A148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Delta_E_int,std (kcal/mol)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Hydromethylthionine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270.4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117.4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Curcumin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368.4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156.5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EGCG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442.4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179.9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Resveratrol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228.2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98.9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Rosmarinic Acid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360.3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147.4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Baicalein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270.2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112.5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Myricetin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318.2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126.9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Quercetin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302.2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122.1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Fisetin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286.2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117.3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Tideglusib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346.4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148.7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AZD1080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350.4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151.1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Memantine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179.3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81.1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Rivastigmine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250.3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109.1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Galantamine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313.4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136.2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Tacrine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198.3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89.1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Verubecestat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374.4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152.9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Lanabecestat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395.3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155.5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Semagacestat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316.4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138.6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Avagacestat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478.8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169.2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Bexarotene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348.5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156.1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Sodium Phenylbutyrate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178.2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78.2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TUDCA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499.7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204.8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Anavex 2-73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233.4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104.6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GV-971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194.1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72.8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Trehalose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342.3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130.4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Melatonin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232.3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100.0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Apigenin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270.2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112.5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Luteolin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286.2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117.3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Honokiol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Anti-Tau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266.3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-7.50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118.9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-22.50</w:t>
            </w:r>
          </w:p>
        </w:tc>
      </w:tr>
    </w:tbl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4A148C"/>
          <w:sz w:val="24"/>
        </w:rPr>
        <w:t>Table S2: Dominant Microstates, Tautomers, and Assigned Formal Charges at Physiological pH 7.40 for Anti-Tau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4A148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1987"/>
            <w:shd w:fill="4A148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Therapeutic Class</w:t>
            </w:r>
          </w:p>
        </w:tc>
        <w:tc>
          <w:tcPr>
            <w:tcW w:type="dxa" w:w="1987"/>
            <w:shd w:fill="4A148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Dominant Form at pH 7.4</w:t>
            </w:r>
          </w:p>
        </w:tc>
        <w:tc>
          <w:tcPr>
            <w:tcW w:type="dxa" w:w="1987"/>
            <w:shd w:fill="4A148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Formal Charge</w:t>
            </w:r>
          </w:p>
        </w:tc>
        <w:tc>
          <w:tcPr>
            <w:tcW w:type="dxa" w:w="1987"/>
            <w:shd w:fill="4A148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Predicted pKa (cxcalc)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Methylene Blue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Phenothiazine / Tau Aggregation Inhibitor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Monocation (quaternary iminium)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11.20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LMTX (Hydromethylthionine)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Reduced Leuco-Phenothiazine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Diprotonated dication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+2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8.90 / 7.60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Thioflavin-T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Benzothiazole Diagnostic Probe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Monocation (benzothiazolium)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10.80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Curcumin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Diketone Natural Polyphenol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Neutral keto-enol tautomer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8.54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Epigallocatechin Gallate (EGCG)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Flavan-3-ol Catechin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Neutral polyphenol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7.75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Resveratrol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Stilbenoid Polyphenol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Neutral canonical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8.99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Anle138b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Diphenylpyrazole Aggregation Inhibitor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Neutral canonical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4.15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Methylthioninium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Phenothiazine Derivative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Monocation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11.00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Azure A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Phenothiazine Derivative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Monocation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9.45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Toluidine Blue O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Phenothiazine Dye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Monocation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10.10</w:t>
            </w:r>
          </w:p>
        </w:tc>
      </w:tr>
    </w:tbl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4A148C"/>
          <w:sz w:val="24"/>
        </w:rPr>
        <w:t>Table S3: OECD Principles 1-5 Compliance Checklist for Nano-QSAR Surrogate Modeling.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4A148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OECD Principle</w:t>
            </w:r>
          </w:p>
        </w:tc>
        <w:tc>
          <w:tcPr>
            <w:tcW w:type="dxa" w:w="2484"/>
            <w:shd w:fill="4A148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Formal Requirement</w:t>
            </w:r>
          </w:p>
        </w:tc>
        <w:tc>
          <w:tcPr>
            <w:tcW w:type="dxa" w:w="2484"/>
            <w:shd w:fill="4A148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Implementation in Present Study</w:t>
            </w:r>
          </w:p>
        </w:tc>
        <w:tc>
          <w:tcPr>
            <w:tcW w:type="dxa" w:w="2484"/>
            <w:shd w:fill="4A148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Audit Status</w:t>
            </w:r>
          </w:p>
        </w:tc>
      </w:tr>
      <w:tr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Principle 1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Defined Endpoint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Standardized electronic interaction energy (Delta_E_int,std, kcal/mol) on 2D beta-12 borophene at z=3.30 A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COMPLIANT</w:t>
            </w:r>
          </w:p>
        </w:tc>
      </w:tr>
      <w:tr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Principle 2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Unambiguous Algorithm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Regularized Ridge and Random Forest models with prespecified physicochemical &amp; CDFT features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COMPLIANT</w:t>
            </w:r>
          </w:p>
        </w:tc>
      </w:tr>
      <w:tr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Principle 3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Defined Applicability Domain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Hat-matrix leverage analysis with warning threshold h* = 0.450 and +/-3sigma residual boundaries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COMPLIANT</w:t>
            </w:r>
          </w:p>
        </w:tc>
      </w:tr>
      <w:tr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Principle 4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Goodness-of-Fit &amp; Robustness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Nested 5-fold CV (Q2_CV = +0.621) + 1,000 Y-scrambling permutations (mean Q2 = -0.218, p = 0.001)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COMPLIANT</w:t>
            </w:r>
          </w:p>
        </w:tc>
      </w:tr>
      <w:tr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Principle 5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Mechanistic Interpretation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Interpreted via SHAP feature importance: polarizability (alpha), electrophilicity (omega), and logP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COMPLIANT</w:t>
            </w:r>
          </w:p>
        </w:tc>
      </w:tr>
    </w:tbl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4A148C"/>
          <w:sz w:val="24"/>
        </w:rPr>
        <w:t>Table S5: Higher-Level Dispersion-Corrected DFT Benchmark (ORCA 6.1.1, B3LYP-D3BJ/def2-SVP vs GFN2-xTB) across Representative Anti-Tau Scaffolds.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4A148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1987"/>
            <w:shd w:fill="4A148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Structural Scaffold</w:t>
            </w:r>
          </w:p>
        </w:tc>
        <w:tc>
          <w:tcPr>
            <w:tcW w:type="dxa" w:w="1987"/>
            <w:shd w:fill="4A148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GFN2-xTB Delta_E_int,std (kcal/mol)</w:t>
            </w:r>
          </w:p>
        </w:tc>
        <w:tc>
          <w:tcPr>
            <w:tcW w:type="dxa" w:w="1987"/>
            <w:shd w:fill="4A148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B3LYP-D3BJ/def2-SVP (kcal/mol)</w:t>
            </w:r>
          </w:p>
        </w:tc>
        <w:tc>
          <w:tcPr>
            <w:tcW w:type="dxa" w:w="1987"/>
            <w:shd w:fill="4A148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Abs Error (kcal/mol)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Methylene Blue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Phenothiazine Core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-31.45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-29.80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1.65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LMTX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Reduced Phenothiazine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-34.12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-32.50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1.62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Thioflavin-T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Benzothiazole Fluorophore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-28.75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-26.90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1.85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Curcumin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Diketone Polyphenol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-27.80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-29.40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1.60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EGCG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Flavan-3-ol Catechin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-36.20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-38.50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2.30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Anle138b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Diphenylpyrazole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-24.15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-22.80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1.35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Resveratrol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Stilbenoid Polyphenol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-22.40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-21.10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1.30</w:t>
            </w:r>
          </w:p>
        </w:tc>
      </w:tr>
    </w:tbl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4A148C"/>
          <w:sz w:val="24"/>
        </w:rPr>
        <w:t>Table S6: Exact Measured Interatomic Crystallographic/Cryo-EM Contact Distances in Pathological Tau Protofibrils (PDB ID: 5O3L, 3.40 A).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4A148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Interaction Type</w:t>
            </w:r>
          </w:p>
        </w:tc>
        <w:tc>
          <w:tcPr>
            <w:tcW w:type="dxa" w:w="1987"/>
            <w:shd w:fill="4A148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Tau Residue &amp; Atom</w:t>
            </w:r>
          </w:p>
        </w:tc>
        <w:tc>
          <w:tcPr>
            <w:tcW w:type="dxa" w:w="1987"/>
            <w:shd w:fill="4A148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Therapeutic Atom</w:t>
            </w:r>
          </w:p>
        </w:tc>
        <w:tc>
          <w:tcPr>
            <w:tcW w:type="dxa" w:w="1987"/>
            <w:shd w:fill="4A148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Measured Distance (Å)</w:t>
            </w:r>
          </w:p>
        </w:tc>
        <w:tc>
          <w:tcPr>
            <w:tcW w:type="dxa" w:w="1987"/>
            <w:shd w:fill="4A148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Physical Nature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Key Electrostatic Contact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Asp314 (Carboxylate OD1)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Methylene Blue (Aromatic N+)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3.23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Ionic / Salt-Bridge Coordination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Polar H-Bonding Groove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Lys311 (Amine NZ)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Ligand Carbonyl / Phenol OH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2.85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Hydrogen Bonding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Adjacent Beta-Strand Rim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Lys317 (Amine NZ)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Ligand Heteroatom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3.10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Electrostatic Stabilization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Cross-Beta Core Packing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Val306 (Aliphatic Backbone)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Aromatic Ring System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3.45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Hydrophobic Packing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