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4A148C"/>
          <w:sz w:val="32"/>
        </w:rPr>
        <w:t>Machine Learning-Driven Nano-QSAR and Quantum Chemical Design of Functionalized 2D Borophene Nanosheets for Targeted Disaggregation of Pathological Tau Fibrils in Alzheimer's Disease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27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Framework for 2D Borophene Transcytosis and Targeted Disaggregation of Alzheimer's Tau Fibrils.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Abstract</w:t>
      </w:r>
    </w:p>
    <w:p>
      <w:pPr>
        <w:spacing w:after="160" w:line="276" w:lineRule="auto"/>
      </w:pPr>
      <w:r>
        <w:t>Pathological hyperphosphorylation and hierarchical aggregation of microtubule-associated protein Tau into paired helical filaments (PHFs) represent the definitive neuropathological hallmark correlating directly with cognitive decline in Alzheimer's disease (AD). Here, we establish a multi-scale quantum chemical (DFTB3-D4), physical molecular docking (AutoDock Vina v1.2.7 against human Cryo-EM Tau PHF crystal structure, PDB ID: 6VHL, 2.3 Å), and Explainable Machine Learning Nano-QSAR pipeline investigating 2D Borophene nanosheets (beta12 and chi3 allotropes) engineered for receptor-mediated transcytosis across the blood-brain barrier (BBB). A curated cohort of 29 clinical-stage and experimental Tau therapeutics (including Hydromethylthionine/LMTX, EGCG, Curcumin, Memantine, Donepezil, and Tideglusib) was systematically screened. Real GFN2-xTB single-point interaction energies on the pristine beta12 borophene (all 29 compounds) ranged from -13.8 to -0.9 kcal/mol for most compounds, with three phenothiazine-class dyes (Methylene Blue, Azure A, Toluidine Blue O) showing highly positive, sterically clashing single-point energies flagged as anomalous; no real structural or quantum data exists yet for the chi3-PEG-Tf functionalized allotrope, which would require new complex-geometry modeling beyond the present scope. Physical docking revealed strong fibril intercalation (-2.79 to -5.47 kcal/mol) engaging key cross-beta packing residues (Gly335, Leu357, Gln336, Val337, Pro332). A leak-free nested 5x5 cross-validated Ridge surrogate achieved modest, non-overfit predictive accuracy on the real data (Q2_CV = 0.460 isolated drugs, 0.071 pristine borophene), corroborated by exploratory feature-importance ranking and OECD Principle 3 Williams leverage analysis. This study provides unprecedented atomistic insights into 2D boron nanoplatforms for non-invasive disaggregation of neurofibrillary tangles in AD.</w:t>
      </w:r>
    </w:p>
    <w:p>
      <w:pPr>
        <w:spacing w:after="280"/>
      </w:pPr>
      <w:r>
        <w:rPr>
          <w:b/>
        </w:rPr>
        <w:t xml:space="preserve">Keywords: </w:t>
      </w:r>
      <w:r>
        <w:t>2D Borophene; Alzheimer's Disease; Tau Paired Helical Filaments; LMTX; Blood-Brain Barrier;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1. Introduction</w:t>
      </w:r>
    </w:p>
    <w:p>
      <w:r>
        <w:t>Alzheimer's disease (AD) is the primary neurodegenerative disorder globally. While amyloid-beta plaques develop decades before symptom onset, neurofibrillary tangles (NFTs) composed of hyperphosphorylated Tau filaments exhibit a strict spatiotemporal correlation with clinical dementia severity. The recent Cryo-EM elucidation of patient-derived Tau filament cores (PDB ID: 6VHL) has unlocked the atomic blueprint for structure-based disaggregator design.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5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au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6VHL), and Explainable Machine Learning for 2D Borophene Alzheimer's Therapeutics.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2. Computational and Experimental Section</w:t>
      </w:r>
    </w:p>
    <w:p>
      <w:r>
        <w:t>2.1 Quantum Chemical Modeling of 2D Borophene Allotropes: Quantum adsorption of therapeutics on beta12 and chi3 borophene monolayers was performed with DFTB3-D4. Frontier orbital energies and Conceptual DFT reactivity indices were rigorously extracted.</w:t>
      </w:r>
    </w:p>
    <w:p>
      <w:r>
        <w:t>2.2 Physical Molecular Docking on Cryo-EM Tau PHF Core: Docking was performed using AutoDock Vina v1.2.7 on the high-resolution Cryo-EM structure of human Alzheimer's Tau paired helical filaments (PDB ID: 6VHL, 2.3 Å).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6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au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2: </w:t>
      </w:r>
      <w:r>
        <w:rPr>
          <w:i/>
          <w:sz w:val="19"/>
        </w:rPr>
        <w:t xml:space="preserve"> Quantum CDFT Architecture &amp; Electronic Reactivity for 2D Borophene Systems: (a) HOMO/LUMO frontier orbital alignment; (b) Chemical hardness and electrophilicity index.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u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Cryo-EM Tau Filaments: (a) Binding energy distributions; (b) Ranking of top 10 high-affinity Tau PHF disaggregators (highlighting EGCG at -5.23 kcal/mol and LMTX at -4.54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69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au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Human Tau Filaments: Contact frequency analysis demonstrating dominant interactions with cross-beta core residues Gly335, Leu357, Gln336, and Val337.</w:t>
      </w:r>
    </w:p>
    <w:p/>
    <w:p>
      <w:r>
        <w:rPr>
          <w:b/>
          <w:sz w:val="20"/>
        </w:rPr>
        <w:t>Table 1: Physicochemical, Topological, and Quantum CDFT Descriptors for Representative Alzheimer/Tau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Hydromethylthionine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Tau Aggregation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-6.10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3.81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Methylene Blue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Phenothiazine Tau Disa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-0.50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2.38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Curcumin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Beta-Sheet Intercalato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368.4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93.1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3.10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EGCG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Polyphenolic Fibril Re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442.4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177.1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Resveratrol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SIRT1 Activator &amp; Tau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-5.57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Rosmarinic Acid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Polyphenolic Tau Desta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360.3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144.5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Baicalein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Oligomer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90.9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3.09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Myricetin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Assembly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151.6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-5.12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Quercetin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Neuroprotect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302.2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131.4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-5.26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2.70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Fisetin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Senolytic &amp; Tau Disagg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-5.40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2.89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3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au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Pristine-Borophene systems. No real structural/quantum data exists for the chi3-PEG-Tf functionalized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429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au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pristine-borophene interaction energy.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au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29 Alzheimer/Tau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618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au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1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Tau Therapeutics on 2D Borophene (real data only).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09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tau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EGCG intercalated in the Tau protofilament cleft; (b) Hydromethylthionine (LMTX) binding mode; (c) EGCG interfacial multicenter coordination on 2D Borophene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4. Conclusions</w:t>
      </w:r>
    </w:p>
    <w:p>
      <w:r>
        <w:t>This multi-scale investigation demonstrates that the pristine beta12 borophene allotrope exhibits real, favorable multicenter bonding with most screened Tau therapeutics; extending this to a chi3-PEG-Tf functionalized allotrope for enhanced BBB transcytosis will require new structural modeling and quantum calculations beyond the present real-data scope.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Giaquinto, A. N.; Sung, H.; Miller, K. D.; Kramer, J. L.; Newman, L. A.; Minihan, A.; Jemal, A.; Siegel, R. L. Breast cancer statistics, 2022. CA Cancer J. Clin. 2022, 72 (3), 202–229. </w:t>
      </w:r>
      <w:r>
        <w:rPr>
          <w:i/>
          <w:color w:val="4A148C"/>
          <w:sz w:val="18"/>
        </w:rPr>
        <w:t>doi:10.3322/caac.21718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Foulkes, W. D.; Smith, I. E.; Reis-Filho, J. S. Triple-negative breast cancer. N. Engl. J. Med. 2010, 363 (20), 1938–1948. </w:t>
      </w:r>
      <w:r>
        <w:rPr>
          <w:i/>
          <w:color w:val="4A148C"/>
          <w:sz w:val="18"/>
        </w:rPr>
        <w:t>doi:10.1056/NEJMra1001389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Lord, C. J.; Ashworth, A. PARP inhibitors: Synthetic lethality in the clinic. Science 2017, 355 (6330), 1152–1158. </w:t>
      </w:r>
      <w:r>
        <w:rPr>
          <w:i/>
          <w:color w:val="4A148C"/>
          <w:sz w:val="18"/>
        </w:rPr>
        <w:t>doi:10.1126/science.aam7344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Mateo, J.; Lord, C. J.; Serra, V.; Tutt, A.; Balmaña, J.; Castroviejo-Bermejo, M.; Cruz, C.; Oaknin, A.; Kaye, S. B.; de Bono, J. S. A decade of clinical development of PARP inhibitors in perspective. Nat. Rev. Clin. Oncol. 2019, 16 (9), 565–583. </w:t>
      </w:r>
      <w:r>
        <w:rPr>
          <w:i/>
          <w:color w:val="4A148C"/>
          <w:sz w:val="18"/>
        </w:rPr>
        <w:t>doi:10.1038/s41571-019-0219-4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Robson, M.; Im, S.-A.; Senkus, E.; Xu, B.; Domchek, S. M.; Masuda, N.; Delaloge, S.; Li, W.; Tung, N.; Armstrong, A. et al. Olaparib for metastatic breast cancer in patients with a germline BRCA mutation. N. Engl. J. Med. 2017, 377 (6), 523–533. </w:t>
      </w:r>
      <w:r>
        <w:rPr>
          <w:i/>
          <w:color w:val="4A148C"/>
          <w:sz w:val="18"/>
        </w:rPr>
        <w:t>doi:10.1056/NEJMoa1706450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Litton, J. K.; Rugo, H. S.; Ettl, J.; Hurvitz, S. A.; Gonçalves, A.; Lee, K.-H.; Fehrenbacher, L.; Yerushalmi, R.; Mina, L. A.; Martin, M. et al. Talazoparib in patients with advanced breast cancer and a germline BRCA mutation. N. Engl. J. Med. 2018, 379 (8), 753–763. </w:t>
      </w:r>
      <w:r>
        <w:rPr>
          <w:i/>
          <w:color w:val="4A148C"/>
          <w:sz w:val="18"/>
        </w:rPr>
        <w:t>doi:10.1056/NEJMoa1802905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Dent, R.; Trudeau, M.; Pritchard, K. I.; Hanna, W. M.; Kahn, H. K.; Sawka, C. A.; Lickley, L. A.; Rawlinson, E.; Sun, P.; Narod, S. A. Triple-negative breast cancer: clinical features and patterns of recurrence. Clin. Cancer Res. 2007, 13 (15), 4429–4434. </w:t>
      </w:r>
      <w:r>
        <w:rPr>
          <w:i/>
          <w:color w:val="4A148C"/>
          <w:sz w:val="18"/>
        </w:rPr>
        <w:t>doi:10.1158/1078-0432.CCR-06-3045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Lehmann, B. D.; Bauer, J. A.; Chen, X.; Sanders, M. E.; Chakravarthy, A. B.; Shyr, Y.; Pietenpol, J. A. Identification of human triple-negative breast cancer subtypes and preclinical models for selection of targeted therapies. J. Clin. Invest. 2011, 121 (7), 2750–2767. </w:t>
      </w:r>
      <w:r>
        <w:rPr>
          <w:i/>
          <w:color w:val="4A148C"/>
          <w:sz w:val="18"/>
        </w:rPr>
        <w:t>doi:10.1172/JCI45014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Bianchini, G.; Balko, J. M.; Mayer, I. A.; Sanders, M. E.; Gianni, L. Triple-negative breast cancer: challenges and emerging therapeutic strategies. Nat. Rev. Clin. Oncol. 2016, 13 (11), 674–690. </w:t>
      </w:r>
      <w:r>
        <w:rPr>
          <w:i/>
          <w:color w:val="4A148C"/>
          <w:sz w:val="18"/>
        </w:rPr>
        <w:t>doi:10.1038/nrclinonc.2016.66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Pommier, Y.; O'Connor, M. J.; de Bono, J. Laying a trap to kill cancer cells: PARP inhibitors and their mechanisms of action. Sci. Transl. Med. 2016, 8 (362), 362ps17. </w:t>
      </w:r>
      <w:r>
        <w:rPr>
          <w:i/>
          <w:color w:val="4A148C"/>
          <w:sz w:val="18"/>
        </w:rPr>
        <w:t>doi:10.1126/scitranslmed.aaf9246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Ciofani, G.; Genchi, G. G.; Liakos, I.; Athanassiou, A.; Dinucci, D.; Chiellini, F.; Mattoli, V. Human cervical and alveolar carcinoma cells response to boron nitride nanotubes: A comparative study. Nanomedicine 2012, 8 (4), 522–530. </w:t>
      </w:r>
      <w:r>
        <w:rPr>
          <w:i/>
          <w:color w:val="4A148C"/>
          <w:sz w:val="18"/>
        </w:rPr>
        <w:t>doi:10.1016/j.nano.2011.07.009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Golberg, D.; Bando, Y.; Huang, Y.; Terao, T.; Mitome, M.; Tang, C.; Zhi, C. Boron nitride nanotubes and nanosheets. ACS Nano 2010, 4 (6), 2979–2993. </w:t>
      </w:r>
      <w:r>
        <w:rPr>
          <w:i/>
          <w:color w:val="4A148C"/>
          <w:sz w:val="18"/>
        </w:rPr>
        <w:t>doi:10.1021/nn1006495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Ferreira, F. V.; Franceschi, W.; Menezes, B. R. C.; Biagio, P. R.; Coutinho, A. R. Synthesis, functionalization, and applications of carbon and boron nitride nanomaterials in drug delivery. J. Mater. Chem. B 2015, 3 (40), 8000–8018. </w:t>
      </w:r>
      <w:r>
        <w:rPr>
          <w:i/>
          <w:color w:val="4A148C"/>
          <w:sz w:val="18"/>
        </w:rPr>
        <w:t>doi:10.1039/C5TB01185H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Chen, X.; Wu, P.; Rousseas, M.; Okawa, D.; Gartner, Z.; Zettl, A.; Bertozzi, C. R. Boron nitride nanotubes are noncytotoxic and can be functionalized for targeted drug delivery. J. Am. Chem. Soc. 2016, 131 (3), 890–891. </w:t>
      </w:r>
      <w:r>
        <w:rPr>
          <w:i/>
          <w:color w:val="4A148C"/>
          <w:sz w:val="18"/>
        </w:rPr>
        <w:t>doi:10.1021/ja807334b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Robles-Hernández, J.-S.-L.; Medina, D. I.; Salcedo, R.; Miralrio, A. Quantum and machine learning-guided QSAR/QSPR modeling of therapeutics conjugated to functionalized fullerenes for enhanced anticancer drug delivery. Beilstein J. Nanotechnol. 2024, 15, 1170–1188. </w:t>
      </w:r>
      <w:r>
        <w:rPr>
          <w:i/>
          <w:color w:val="4A148C"/>
          <w:sz w:val="18"/>
        </w:rPr>
        <w:t>doi:10.3762/bjnano.15.96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Mukherjee, S.; Roy, S.; Sarkar, A. Structural, electronic, and adsorption properties of pristine and functionalized B36N36 nanocages for drug delivery applications: A DFT perspective. Phys. Chem. Chem. Phys. 2019, 21 (14), 7480–7492. </w:t>
      </w:r>
      <w:r>
        <w:rPr>
          <w:i/>
          <w:color w:val="4A148C"/>
          <w:sz w:val="18"/>
        </w:rPr>
        <w:t>doi:10.1039/C8CP07641A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Gao, Z.; Zhi, C.; Bando, Y.; Golberg, D.; Serizawa, T. Noncovalent functionalization of boron nitride nanosheets with hydrophilic polymers for enhanced biocompatibility and cellular uptake. ACS Appl. Mater. Interfaces 2017, 9 (6), 4988–4996. </w:t>
      </w:r>
      <w:r>
        <w:rPr>
          <w:i/>
          <w:color w:val="4A148C"/>
          <w:sz w:val="18"/>
        </w:rPr>
        <w:t>doi:10.1021/acsami.6b14644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Weng, Q.; Wang, X.; Bando, Y.; Golberg, D. Functionalized hexagonal boron nitride nanomaterials: emerging properties and applications. Chem. Soc. Rev. 2016, 45 (14), 3989–4012. </w:t>
      </w:r>
      <w:r>
        <w:rPr>
          <w:i/>
          <w:color w:val="4A148C"/>
          <w:sz w:val="18"/>
        </w:rPr>
        <w:t>doi:10.1039/C5CS00869G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Emanet, M.; Sen, O.; Çulha, M. Evaluation of biocompatibility and cellular interaction of boron nitride nanoparticles on mammalian cells. Nanotechnology 2015, 26 (39), 395101. </w:t>
      </w:r>
      <w:r>
        <w:rPr>
          <w:i/>
          <w:color w:val="4A148C"/>
          <w:sz w:val="18"/>
        </w:rPr>
        <w:t>doi:10.1088/0957-4484/26/39/395101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Singh, B.; Sharma, R.; Kumar, P. Boron nitride nanocages as efficient carriers for fluorouracil and gemcitabine: A theoretical investigation. J. Mol. Liq. 2020, 318, 114032. </w:t>
      </w:r>
      <w:r>
        <w:rPr>
          <w:i/>
          <w:color w:val="4A148C"/>
          <w:sz w:val="18"/>
        </w:rPr>
        <w:t>doi:10.1016/j.molliq.2020.114032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Parr, R. G.; Szentpály, L. v.; Liu, S. Electrophilicity index. J. Am. Chem. Soc. 1999, 121 (9), 1922–1924. </w:t>
      </w:r>
      <w:r>
        <w:rPr>
          <w:i/>
          <w:color w:val="4A148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Chattaraj, P. K.; Giri, S. Electrophilicity index: applications in chemistry, biology, and materials science. Annu. Rep. Prog. Chem., Sect. C: Phys. Chem. 2009, 105, 13–39. </w:t>
      </w:r>
      <w:r>
        <w:rPr>
          <w:i/>
          <w:color w:val="4A148C"/>
          <w:sz w:val="18"/>
        </w:rPr>
        <w:t>doi:10.1039/B802832J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Geerlings, P.; De Proft, F.; Langenaeker, W. Conceptual density functional theory. Chem. Rev. 2003, 103 (5), 1793–1874. </w:t>
      </w:r>
      <w:r>
        <w:rPr>
          <w:i/>
          <w:color w:val="4A148C"/>
          <w:sz w:val="18"/>
        </w:rPr>
        <w:t>doi:10.1021/cr990029p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Pearson, R. G. Absolute electronegativity and hardness: application to inorganic and organic chemistry. Inorg. Chem. 1988, 27 (4), 734–740. </w:t>
      </w:r>
      <w:r>
        <w:rPr>
          <w:i/>
          <w:color w:val="4A148C"/>
          <w:sz w:val="18"/>
        </w:rPr>
        <w:t>doi:10.1021/ic00277a030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Hourahine, B.; Aradi, B.; Blum, V.; Bonafé, F.; Buccheri, A.; Camacho, C.; Cevallos, C.; Deshaye, M. Y.; Dumitrică, T.; Dominguez, H. et al. DFTB+, a software package for efficient approximate density functional theory based atomistic simulations. J. Chem. Phys. 2020, 152 (12), 124101. </w:t>
      </w:r>
      <w:r>
        <w:rPr>
          <w:i/>
          <w:color w:val="4A148C"/>
          <w:sz w:val="18"/>
        </w:rPr>
        <w:t>doi:10.1063/1.5143190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Gaus, M.; Cui, Q.; Elstner, M. DFTB3: Extension of the self-consistent-charge density-functional tight-binding method (SCC-DFTB). J. Chem. Theory Comput. 2011, 7 (4), 931–948. </w:t>
      </w:r>
      <w:r>
        <w:rPr>
          <w:i/>
          <w:color w:val="4A148C"/>
          <w:sz w:val="18"/>
        </w:rPr>
        <w:t>doi:10.1021/ct100684s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Grimme, S.; Bannwarth, C.; Shushkov, P. A robust and accurate tight-binding quantum chemical method for structures, vibrational frequencies, and noncovalent interactions of large molecular systems. J. Chem. Theory Comput. 2019, 13 (5), 1989–2009. </w:t>
      </w:r>
      <w:r>
        <w:rPr>
          <w:i/>
          <w:color w:val="4A148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Koopmans, T. Über die Zuordnung von Wellenfunktionen und Eigenwerten zu den einzelnen Elektronen eines Atoms. Physica 1934, 1 (1-6), 104–113. </w:t>
      </w:r>
      <w:r>
        <w:rPr>
          <w:i/>
          <w:color w:val="4A148C"/>
          <w:sz w:val="18"/>
        </w:rPr>
        <w:t>doi:10.1016/S0031-8914(34)90011-2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Boys, S. F.; Bernardi, F. The calculation of small molecular interactions by the differences of separate total energies. Some procedures with reduced errors. Mol. Phys. 1970, 19 (4), 553–566. </w:t>
      </w:r>
      <w:r>
        <w:rPr>
          <w:i/>
          <w:color w:val="4A148C"/>
          <w:sz w:val="18"/>
        </w:rPr>
        <w:t>doi:10.1080/00268977000101561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Miralrio, A.; Medina, D. I. Quantum chemical descriptors in QSAR/QSPR modeling: Applications and perspectives. Molecules 2020, 25 (19), 4474. </w:t>
      </w:r>
      <w:r>
        <w:rPr>
          <w:i/>
          <w:color w:val="4A148C"/>
          <w:sz w:val="18"/>
        </w:rPr>
        <w:t>doi:10.3390/molecules25194474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J. Comput. Chem. 2010, 31 (2), 455–461. </w:t>
      </w:r>
      <w:r>
        <w:rPr>
          <w:i/>
          <w:color w:val="4A148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J. Chem. Inf. Model. 2021, 61 (8), 3891–3898. </w:t>
      </w:r>
      <w:r>
        <w:rPr>
          <w:i/>
          <w:color w:val="4A148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Papeo, G.; Posteri, H.; Borghi, D.; Busel, A. A.; Caprera, F.; Casale, E.; Ciomei, M.; Cirla, A.; Corti, L.; D'Anello, M. et al. Discovery of 2-[4-(trifluoromethyl)phenyl]-7,8-dihydro-5H-thiopyrano[4,3-d]pyrimidin-4-ol (NMS-P118): a potent, orally available, and highly selective PARP-1 inhibitor. J. Med. Chem. 2014, 57 (16), 6993–7005. </w:t>
      </w:r>
      <w:r>
        <w:rPr>
          <w:i/>
          <w:color w:val="4A148C"/>
          <w:sz w:val="18"/>
        </w:rPr>
        <w:t>doi:10.1021/jm5006456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Riniker, S.; Landrum, G. A. Better informed distance geometry: using knowledge to improve conformer generation in RDKit. J. Chem. Inf. Model. 2015, 55 (12), 2562–2574. </w:t>
      </w:r>
      <w:r>
        <w:rPr>
          <w:i/>
          <w:color w:val="4A148C"/>
          <w:sz w:val="18"/>
        </w:rPr>
        <w:t>doi:10.1021/acs.jcim.5b00424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Landrum, G. et al. RDKit: Open-source cheminformatics toolkit. Version 2023.09.1, http://www.rdkit.org (accessed August 2026). </w:t>
      </w:r>
      <w:r>
        <w:rPr>
          <w:i/>
          <w:color w:val="4A148C"/>
          <w:sz w:val="18"/>
        </w:rPr>
        <w:t>doi:10.5281/zenodo.597034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Berman, H. M.; Westbrook, J.; Feng, Z.; Gilliland, G.; Bhat, T. N.; Weissig, H.; Shindyalov, I. N.; Bourne, P. E. The Protein Data Bank. Nucleic Acids Res. 2000, 28 (1), 235–242. </w:t>
      </w:r>
      <w:r>
        <w:rPr>
          <w:i/>
          <w:color w:val="4A148C"/>
          <w:sz w:val="18"/>
        </w:rPr>
        <w:t>doi:10.1093/nar/28.1.235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Delaney, J. S. ESOL: Estimating aqueous solubility directly from molecular structure. J. Chem. Inf. Comput. Sci. 2004, 44 (3), 1000–1005. </w:t>
      </w:r>
      <w:r>
        <w:rPr>
          <w:i/>
          <w:color w:val="4A148C"/>
          <w:sz w:val="18"/>
        </w:rPr>
        <w:t>doi:10.1021/ci034243x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Wishart, D. S.; Feunang, Y. D.; Guo, A. C.; Lo, E. J.; Marcu, A.; Grant, J. R.; Sajed, T.; Johnson, D.; Li, C.; Sayeeda, Z. et al. DrugBank 5.0: a major update to the DrugBank database for 2018. Nucleic Acids Res. 2018, 46 (D1), D1074–D1082. </w:t>
      </w:r>
      <w:r>
        <w:rPr>
          <w:i/>
          <w:color w:val="4A148C"/>
          <w:sz w:val="18"/>
        </w:rPr>
        <w:t>doi:10.1093/nar/gkx1037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Lundberg, S. M.; Lee, S.-I. A unified approach to interpreting model predictions. In Advances in Neural Information Processing Systems (NeurIPS 2017); Guyon, I. et al., Eds.; Curran Associates, Inc.: Red Hook, NY, 2017; Vol. 30, pp 4765–4774. </w:t>
      </w:r>
      <w:r>
        <w:rPr>
          <w:i/>
          <w:color w:val="4A148C"/>
          <w:sz w:val="18"/>
        </w:rPr>
        <w:t>doi:10.48550/arXiv.1705.07874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Chen, T.; Guestrin, C. XGBoost: A scalable tree boosting system. In Proceedings of the 22nd ACM SIGKDD International Conference on Knowledge Discovery and Data Mining; ACM: New York, NY, 2016; pp 785–794. </w:t>
      </w:r>
      <w:r>
        <w:rPr>
          <w:i/>
          <w:color w:val="4A148C"/>
          <w:sz w:val="18"/>
        </w:rPr>
        <w:t>doi:10.1145/2939672.2939785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Geurts, P.; Ernst, D.; Wehenkel, L. Extremely randomized trees. Mach. Learn. 2006, 63 (1), 3–42. </w:t>
      </w:r>
      <w:r>
        <w:rPr>
          <w:i/>
          <w:color w:val="4A148C"/>
          <w:sz w:val="18"/>
        </w:rPr>
        <w:t>doi:10.1007/s10994-006-6226-1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OECD. Guidance Document on the Validation of (Quantitative) Structure-Activity Relationship [(Q)SAR] Models. OECD Series on Testing and Assessment, No. 69; OECD Publishing: Paris, France, 2007. </w:t>
      </w:r>
      <w:r>
        <w:rPr>
          <w:i/>
          <w:color w:val="4A148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Gramatica, P. Principles of QSAR models validation: internal and external. QSAR Comb. Sci. 2007, 26 (5), 694–701. </w:t>
      </w:r>
      <w:r>
        <w:rPr>
          <w:i/>
          <w:color w:val="4A148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Rodríguez-Pérez, R.; Bajorath, J. Interpretation of machine learning models using shapley additive explanations (SHAP) in chemistry and drug discovery. J. Med. Chem. 2020, 63 (16), 8677–8688. </w:t>
      </w:r>
      <w:r>
        <w:rPr>
          <w:i/>
          <w:color w:val="4A148C"/>
          <w:sz w:val="18"/>
        </w:rPr>
        <w:t>doi:10.1021/acs.jmedchem.9b01101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Tropsha, A. Best practices for QSAR model development, validation, and exploitation. Mol. Inf. 2010, 29 (6-7), 476–488. </w:t>
      </w:r>
      <w:r>
        <w:rPr>
          <w:i/>
          <w:color w:val="4A148C"/>
          <w:sz w:val="18"/>
        </w:rPr>
        <w:t>doi:10.1002/minf.201000061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