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4D40"/>
          <w:sz w:val="28"/>
        </w:rPr>
        <w:t>SUPPORTING INFORMATION</w:t>
        <w:br/>
        <w:t>Machine Learning-Driven Nano-QSAR and Quantum Chemical Design of 2D Borophene Nanosheets for Alzheimer's Tau-Targeted Therapeutics</w:t>
      </w:r>
    </w:p>
    <w:p>
      <w:r>
        <w:rPr>
          <w:i/>
        </w:rPr>
        <w:t>Andrés Monreal Hernández, Sara Lizbeth Franco Amaya, and Carlos Ivanhoe Martínez Osorio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S1: Borophene Nanocarrier Cluster Model</w:t>
      </w:r>
    </w:p>
    <w:p>
      <w:r>
        <w:t>The borophene nanocarrier is modeled as a hydrogen-terminated monolayer cluster of the beta-12 polymorph (B40H15). Each drug-borophene complex was built by offsetting the drug 3.2 Angstrom above the sheet in four in-plane orientations and relaxing every orientation with GFN2-xTB; the lowest-energy converged pose with a drug-carrier contact of 1.25-4.0 Angstrom is retained. The standardized interaction energy Delta_E_int,SP = E(complex) - E(borophene) - E(drug) is evaluated with both fragments frozen at the complex geometry. Contacts below 1.9 Angstrom are chemisorption (covalent B-C/B-O); 12 of the 29 ligands fall in this regime and are excluded from the physisorption QSPR.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Section S2: Software</w:t>
      </w:r>
    </w:p>
    <w:p>
      <w:r>
        <w:t>• AutoDock Vina v1.2.7 — molecular docking</w:t>
        <w:br/>
        <w:t>• GFN2-xTB (xtb v6.7.1, Grimme group) — geometry optimization and single-point energies</w:t>
        <w:br/>
        <w:t>• RDKit v2024.03.1 &amp; Meeko v0.5.0 — descriptors, protonation, PDBQT preparation</w:t>
        <w:br/>
        <w:t>• scikit-learn v1.4.2, SciPy v1.13.0, SHAP v0.45.0 — surrogate model and interpretation</w:t>
        <w:br/>
        <w:t>• Code: https://github.com/sircalch/borophene-alzheimer-tau-ai</w:t>
        <w:br/>
        <w:t>• Data archive: https://doi.org/10.5281/zenodo.22187835</w:t>
      </w:r>
    </w:p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S1: Full Curated Dataset (N=29) — Real Docking Scores, Quantum Descriptors and GFN2-xTB Single-Point Interaction Energies.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MW (g/mol)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Vina 5O3L (kcal/mol)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E_HOMO (eV)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omega (eV)</w:t>
            </w:r>
          </w:p>
        </w:tc>
        <w:tc>
          <w:tcPr>
            <w:tcW w:type="dxa" w:w="1419"/>
            <w:shd w:fill="004D40"/>
          </w:tcPr>
          <w:p>
            <w:r>
              <w:rPr>
                <w:b/>
                <w:color w:val="FFFFFF"/>
                <w:sz w:val="15"/>
              </w:rPr>
              <w:t>Delta_E_int,SP (kcal/mol)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Methylene Blue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Phenothiazine / Tau Inhibi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284.4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-4.67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-8.19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24.94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-149.71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Hydromethylthionine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Reduced Phenothiazine / LM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285.4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-4.77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-8.49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21.37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-8.53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Azure A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Phenothiazine Metabolite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-4.61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-8.28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25.48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-153.24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Toluidine Blue O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Phenothiazine Diagnostic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-8.27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24.77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-166.65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Thioflavin-T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Amyloid/Tau Diagnostic Dye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240.3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-4.81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23.03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-9.82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Thioflavin-S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Amyloid Diagnostic Dye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240.3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-5.06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27.99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-12.87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Congo Red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Histological Amyloid Stain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392.4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-9.57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66.48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-132.89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Chrysamine G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Congo Red Derivative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482.4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-6.83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72.72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-80.53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FDDNP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PET Amyloid/Tau Radiotrace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251.3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-4.41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55.84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-177.09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Curcumin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Natural Polyphenol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368.4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-5.03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-10.20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38.08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-92.43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EGCG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Green Tea Catechin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474.4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-5.88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25.45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-33.35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Resveratrol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Stilbenoid Antioxidant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228.2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-4.97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-10.04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22.70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-13.00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Quercetin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Flavonol / Tau Aggregation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302.2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32.64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-43.67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Myricetin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Hexahydroxyflavone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318.2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33.37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-13.62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Baicalein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Flavone / Anti-Tau Fibril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33.53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-83.34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Rosmarinic Acid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Polyphenolic Ester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376.3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-5.60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41.87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-232.53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Fisetin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286.2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-5.75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-10.27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34.87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-85.03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Apigenin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Trihydroxyflavone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270.2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-10.60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29.46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-104.37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Luteolin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286.2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-5.87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-10.10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29.09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-107.18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Honokiol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Lignan / Neuroprotective P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266.3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-4.93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-9.98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20.47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-13.45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Anle138b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Oligomer Modulator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378.1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-5.27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-10.70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28.65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-12.73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Tideglusib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GSK-3beta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226.2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-4.74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-11.52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40.54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-20.70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AZD1080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Selective GSK-3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298.2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-5.30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-10.36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27.11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-11.22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Bexarotene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RXR Agonist / Clearance En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348.5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-10.29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29.34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-15.25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Donepezil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AChE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379.5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-5.75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-9.35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34.51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-11.77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Rivastigmine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Dual AChE/BuChE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250.3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-4.13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-9.24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19.30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-10.33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Galantamine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Allosteric AChE Modulator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285.3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-3.79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-9.74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44.15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-15.86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Memantine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NMDA Receptor Antagonist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179.3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-4.19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-9.74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2.11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-8.12</w:t>
            </w:r>
          </w:p>
        </w:tc>
      </w:tr>
      <w:tr>
        <w:tc>
          <w:tcPr>
            <w:tcW w:type="dxa" w:w="1419"/>
          </w:tcPr>
          <w:p>
            <w:r>
              <w:rPr>
                <w:sz w:val="14"/>
              </w:rPr>
              <w:t>Tacrine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Classical AChE Inhibitor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198.3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-5.51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-9.64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30.95</w:t>
            </w:r>
          </w:p>
        </w:tc>
        <w:tc>
          <w:tcPr>
            <w:tcW w:type="dxa" w:w="1419"/>
          </w:tcPr>
          <w:p>
            <w:r>
              <w:rPr>
                <w:sz w:val="14"/>
              </w:rPr>
              <w:t>-16.27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S2: Dominant Microstate Formal Charge at pH 7.4 (RDKit, from the curated SMILES; no external pKa engine was run).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Compound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type="dxa" w:w="3312"/>
            <w:shd w:fill="004D40"/>
          </w:tcPr>
          <w:p>
            <w:r>
              <w:rPr>
                <w:b/>
                <w:color w:val="FFFFFF"/>
                <w:sz w:val="15"/>
              </w:rPr>
              <w:t>Formal charge (pH 7.4)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Methylene Blue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Phenothiazine / Tau Inhibi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Hydromethylthionine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Reduced Phenothiazine / LM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Azure A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Phenothiazine Metabolite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Toluidine Blue O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Phenothiazine Diagnostic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1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Thioflavin-T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Amyloid/Tau Diagnostic Dye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Thioflavin-S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Amyloid Diagnostic Dye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Congo Red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Histological Amyloid Stain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Chrysamine G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Congo Red Derivative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FDDNP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PET Amyloid/Tau Radiotrace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Curcumin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Natural Polyphenol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EGCG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Green Tea Catechin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Resveratrol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Stilbenoid Antioxidant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Quercetin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Flavonol / Tau Aggregation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Myricetin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Hexahydroxyflavone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Baicalein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Flavone / Anti-Tau Fibril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Rosmarinic Acid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Polyphenolic Ester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Fisetin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Apigenin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Trihydroxyflavone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Luteolin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Tetrahydroxyflavone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Honokiol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Lignan / Neuroprotective P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Anle138b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Oligomer Modulator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Tideglusib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GSK-3beta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AZD1080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Selective GSK-3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Bexarotene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RXR Agonist / Clearance En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Donepezil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AChE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Rivastigmine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Dual AChE/BuChE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Galantamine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Allosteric AChE Modulator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Memantine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NMDA Receptor Antagonist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3312"/>
          </w:tcPr>
          <w:p>
            <w:r>
              <w:rPr>
                <w:sz w:val="14"/>
              </w:rPr>
              <w:t>Tacrine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Classical AChE Inhibitor</w:t>
            </w:r>
          </w:p>
        </w:tc>
        <w:tc>
          <w:tcPr>
            <w:tcW w:type="dxa" w:w="3312"/>
          </w:tcPr>
          <w:p>
            <w:r>
              <w:rPr>
                <w:sz w:val="14"/>
              </w:rPr>
              <w:t>0</w:t>
            </w:r>
          </w:p>
        </w:tc>
      </w:tr>
    </w:tbl>
    <w:p>
      <w:pPr>
        <w:pStyle w:val="Heading1"/>
        <w:spacing w:before="240"/>
      </w:pPr>
      <w:r>
        <w:rPr>
          <w:rFonts w:ascii="Times New Roman" w:hAnsi="Times New Roman"/>
          <w:b/>
          <w:color w:val="004D40"/>
          <w:sz w:val="24"/>
        </w:rPr>
        <w:t>Table S3: OECD Principles 1–5 Checklist.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OECD principle</w:t>
            </w:r>
          </w:p>
        </w:tc>
        <w:tc>
          <w:tcPr>
            <w:tcW w:type="dxa" w:w="4968"/>
            <w:shd w:fill="004D40"/>
          </w:tcPr>
          <w:p>
            <w:r>
              <w:rPr>
                <w:b/>
                <w:color w:val="FFFFFF"/>
                <w:sz w:val="15"/>
              </w:rPr>
              <w:t>Implementation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1. Defined endpoint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GFN2-xTB single-point interaction energy Delta_E_int,SP (kcal/mol) of each drug on the pristine beta-12 borophene cluster.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2. Unambiguous algorithm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StandardScaler + regularized linear regression inside a leak-free nested 5x5 cross-validation.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3. Applicability domain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Williams hat-matrix leverage, 4 descriptors, n=17: h* = 0.882; 16/17 compounds inside the domain.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4. Goodness-of-fit / robustness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Leak-free nested 5x5 CV on the real Delta_E_int,SP; see the manuscript for the per-fold Q2_CV. Exploratory feature-importance only.</w:t>
            </w:r>
          </w:p>
        </w:tc>
      </w:tr>
      <w:tr>
        <w:tc>
          <w:tcPr>
            <w:tcW w:type="dxa" w:w="4968"/>
          </w:tcPr>
          <w:p>
            <w:r>
              <w:rPr>
                <w:sz w:val="14"/>
              </w:rPr>
              <w:t>5. Mechanistic interpretation</w:t>
            </w:r>
          </w:p>
        </w:tc>
        <w:tc>
          <w:tcPr>
            <w:tcW w:type="dxa" w:w="4968"/>
          </w:tcPr>
          <w:p>
            <w:r>
              <w:rPr>
                <w:sz w:val="14"/>
              </w:rPr>
              <w:t>Feature importance dominated by molecular size (MW), molar refractivity, electrophilicity (omega) and E_HOMO.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