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4A148C"/>
          <w:sz w:val="32"/>
        </w:rPr>
        <w:t>Machine Learning-Driven Nano-QSAR and Quantum Chemical Design of Functionalized 2D Borophene Nanosheets for Targeted Disaggregation of Pathological Tau Fibrils in Alzheimer's Disease</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161288"/>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161288"/>
                    </a:xfrm>
                    <a:prstGeom prst="rect"/>
                  </pic:spPr>
                </pic:pic>
              </a:graphicData>
            </a:graphic>
          </wp:inline>
        </w:drawing>
      </w:r>
    </w:p>
    <w:p>
      <w:pPr>
        <w:spacing w:after="240" w:line="276" w:lineRule="auto"/>
      </w:pPr>
      <w:r>
        <w:rPr>
          <w:b/>
          <w:color w:val="4A148C"/>
          <w:sz w:val="19"/>
        </w:rPr>
        <w:t xml:space="preserve">Graphical Abstract: </w:t>
      </w:r>
      <w:r>
        <w:rPr>
          <w:i/>
          <w:sz w:val="19"/>
        </w:rPr>
        <w:t xml:space="preserve"> Multi-Scale Quantum, Docking, and Machine Learning Framework for 2D Borophene Transcytosis and Targeted Disaggregation of Alzheimer's Tau Fibrils.</w:t>
      </w:r>
    </w:p>
    <w:p>
      <w:pPr>
        <w:pStyle w:val="Heading1"/>
        <w:keepNext/>
        <w:spacing w:before="280" w:after="120"/>
      </w:pPr>
      <w:r>
        <w:rPr>
          <w:rFonts w:ascii="Times New Roman" w:hAnsi="Times New Roman"/>
          <w:b/>
          <w:color w:val="4A148C"/>
          <w:sz w:val="28"/>
        </w:rPr>
        <w:t>Abstract</w:t>
      </w:r>
    </w:p>
    <w:p>
      <w:pPr>
        <w:spacing w:after="160" w:line="276" w:lineRule="auto"/>
      </w:pPr>
      <w:r>
        <w:t>Pathological hyperphosphorylation and hierarchical aggregation of microtubule-associated protein Tau into paired helical filaments (PHFs) represent the definitive neuropathological hallmark correlating directly with cognitive decline in Alzheimer's disease (AD). Here, we establish a multi-scale quantum chemical (DFTB3-D4), physical molecular docking (AutoDock Vina v1.2.7 against human Cryo-EM Tau PHF crystal structure, PDB ID: 6VHL, 2.3 Å), and Explainable Machine Learning Nano-QSAR pipeline investigating 2D Borophene nanosheets (beta12 and chi3 allotropes) engineered for receptor-mediated transcytosis across the blood-brain barrier (BBB). A curated cohort of 29 clinical-stage and experimental Tau therapeutics (including Hydromethylthionine/LMTX, EGCG, Curcumin, Memantine, Donepezil, and Tideglusib) was systematically screened. Quantum adsorption modeling demonstrated exceptionally robust binding (Delta_E_ads = -24.0 to -82.5 kcal/mol) driven by boron's multicenter electron-deficient coordination with aromatic pharmacophores. Physical docking revealed strong fibril intercalation (-2.79 to -5.47 kcal/mol) engaging key cross-beta packing residues (Gly335, Leu357, Gln336, Val337, Pro332). Machine Learning algorithms (ExtraTrees and XGBoost) achieved outstanding generalization accuracy (test MAPE = 2.72%–3.24%, R2 = 0.815), rigorously validated via SHAP interpretability and OECD Principle 3 Williams leverage analysis. This study provides unprecedented atomistic insights into 2D boron nanoplatforms for non-invasive disaggregation of neurofibrillary tangles in AD.</w:t>
      </w:r>
    </w:p>
    <w:p>
      <w:pPr>
        <w:spacing w:after="280"/>
      </w:pPr>
      <w:r>
        <w:rPr>
          <w:b/>
        </w:rPr>
        <w:t xml:space="preserve">Keywords: </w:t>
      </w:r>
      <w:r>
        <w:t>2D Borophene; Alzheimer's Disease; Tau Paired Helical Filaments; LMTX; Blood-Brain Barrier; AutoDock Vina; Explainable AI (SHAP); OECD Validation.</w:t>
      </w:r>
    </w:p>
    <w:p>
      <w:pPr>
        <w:pStyle w:val="Heading1"/>
        <w:keepNext/>
        <w:spacing w:before="280" w:after="120"/>
      </w:pPr>
      <w:r>
        <w:rPr>
          <w:rFonts w:ascii="Times New Roman" w:hAnsi="Times New Roman"/>
          <w:b/>
          <w:color w:val="4A148C"/>
          <w:sz w:val="28"/>
        </w:rPr>
        <w:t>1. Introduction</w:t>
      </w:r>
    </w:p>
    <w:p>
      <w:r>
        <w:t>Alzheimer's disease (AD) is the primary neurodegenerative disorder globally. While amyloid-beta plaques develop decades before symptom onset, neurofibrillary tangles (NFTs) composed of hyperphosphorylated Tau filaments exhibit a strict spatiotemporal correlation with clinical dementia severity. The recent Cryo-EM elucidation of patient-derived Tau filament cores (PDB ID: 6VHL) has unlocked the atomic blueprint for structure-based disaggregator design.</w:t>
      </w:r>
    </w:p>
    <w:p>
      <w:pPr>
        <w:spacing w:before="200" w:after="80"/>
        <w:jc w:val="center"/>
      </w:pPr>
      <w:r>
        <w:drawing>
          <wp:inline xmlns:a="http://schemas.openxmlformats.org/drawingml/2006/main" xmlns:pic="http://schemas.openxmlformats.org/drawingml/2006/picture">
            <wp:extent cx="5669280" cy="3161288"/>
            <wp:docPr id="2" name="Picture 2"/>
            <wp:cNvGraphicFramePr>
              <a:graphicFrameLocks noChangeAspect="1"/>
            </wp:cNvGraphicFramePr>
            <a:graphic>
              <a:graphicData uri="http://schemas.openxmlformats.org/drawingml/2006/picture">
                <pic:pic>
                  <pic:nvPicPr>
                    <pic:cNvPr id="0" name="fig1_tau_workflow_methodology.png"/>
                    <pic:cNvPicPr/>
                  </pic:nvPicPr>
                  <pic:blipFill>
                    <a:blip r:embed="rId10"/>
                    <a:stretch>
                      <a:fillRect/>
                    </a:stretch>
                  </pic:blipFill>
                  <pic:spPr>
                    <a:xfrm>
                      <a:off x="0" y="0"/>
                      <a:ext cx="5669280" cy="3161288"/>
                    </a:xfrm>
                    <a:prstGeom prst="rect"/>
                  </pic:spPr>
                </pic:pic>
              </a:graphicData>
            </a:graphic>
          </wp:inline>
        </w:drawing>
      </w:r>
    </w:p>
    <w:p>
      <w:pPr>
        <w:spacing w:after="240" w:line="276" w:lineRule="auto"/>
      </w:pPr>
      <w:r>
        <w:rPr>
          <w:b/>
          <w:color w:val="4A148C"/>
          <w:sz w:val="19"/>
        </w:rPr>
        <w:t xml:space="preserve">Figure 1: </w:t>
      </w:r>
      <w:r>
        <w:rPr>
          <w:i/>
          <w:sz w:val="19"/>
        </w:rPr>
        <w:t xml:space="preserve"> Multi-Scale Computational Workflow: Integrating Quantum Chemical CDFT, Real AutoDock Vina Docking (PDB 6VHL), and Explainable Machine Learning for 2D Borophene Alzheimer's Therapeutics.</w:t>
      </w:r>
    </w:p>
    <w:p>
      <w:pPr>
        <w:pStyle w:val="Heading1"/>
        <w:keepNext/>
        <w:spacing w:before="280" w:after="120"/>
      </w:pPr>
      <w:r>
        <w:rPr>
          <w:rFonts w:ascii="Times New Roman" w:hAnsi="Times New Roman"/>
          <w:b/>
          <w:color w:val="4A148C"/>
          <w:sz w:val="28"/>
        </w:rPr>
        <w:t>2. Computational and Experimental Section</w:t>
      </w:r>
    </w:p>
    <w:p>
      <w:r>
        <w:t>2.1 Quantum Chemical Modeling of 2D Borophene Allotropes: Quantum adsorption of therapeutics on beta12 and chi3 borophene monolayers was performed with DFTB3-D4. Frontier orbital energies and Conceptual DFT reactivity indices were rigorously extracted.</w:t>
      </w:r>
    </w:p>
    <w:p>
      <w:r>
        <w:t>2.2 Physical Molecular Docking on Cryo-EM Tau PHF Core: Docking was performed using AutoDock Vina v1.2.7 on the high-resolution Cryo-EM structure of human Alzheimer's Tau paired helical filaments (PDB ID: 6VHL, 2.3 Å).</w:t>
      </w:r>
    </w:p>
    <w:p>
      <w:pPr>
        <w:spacing w:before="200" w:after="80"/>
        <w:jc w:val="center"/>
      </w:pPr>
      <w:r>
        <w:drawing>
          <wp:inline xmlns:a="http://schemas.openxmlformats.org/drawingml/2006/main" xmlns:pic="http://schemas.openxmlformats.org/drawingml/2006/picture">
            <wp:extent cx="5669280" cy="2626118"/>
            <wp:docPr id="3" name="Picture 3"/>
            <wp:cNvGraphicFramePr>
              <a:graphicFrameLocks noChangeAspect="1"/>
            </wp:cNvGraphicFramePr>
            <a:graphic>
              <a:graphicData uri="http://schemas.openxmlformats.org/drawingml/2006/picture">
                <pic:pic>
                  <pic:nvPicPr>
                    <pic:cNvPr id="0" name="fig2_tau_quantum_cdft_architecture.png"/>
                    <pic:cNvPicPr/>
                  </pic:nvPicPr>
                  <pic:blipFill>
                    <a:blip r:embed="rId11"/>
                    <a:stretch>
                      <a:fillRect/>
                    </a:stretch>
                  </pic:blipFill>
                  <pic:spPr>
                    <a:xfrm>
                      <a:off x="0" y="0"/>
                      <a:ext cx="5669280" cy="2626118"/>
                    </a:xfrm>
                    <a:prstGeom prst="rect"/>
                  </pic:spPr>
                </pic:pic>
              </a:graphicData>
            </a:graphic>
          </wp:inline>
        </w:drawing>
      </w:r>
    </w:p>
    <w:p>
      <w:pPr>
        <w:spacing w:after="240" w:line="276" w:lineRule="auto"/>
      </w:pPr>
      <w:r>
        <w:rPr>
          <w:b/>
          <w:color w:val="4A148C"/>
          <w:sz w:val="19"/>
        </w:rPr>
        <w:t xml:space="preserve">Figure 2: </w:t>
      </w:r>
      <w:r>
        <w:rPr>
          <w:i/>
          <w:sz w:val="19"/>
        </w:rPr>
        <w:t xml:space="preserve"> Quantum CDFT Architecture &amp; Electronic Reactivity for 2D Borophene Systems: (a) HOMO/LUMO frontier orbital alignment; (b) Chemical hardness and electrophilicity index.</w:t>
      </w:r>
    </w:p>
    <w:p>
      <w:pPr>
        <w:pStyle w:val="Heading1"/>
        <w:keepNext/>
        <w:spacing w:before="280" w:after="120"/>
      </w:pPr>
      <w:r>
        <w:rPr>
          <w:rFonts w:ascii="Times New Roman" w:hAnsi="Times New Roman"/>
          <w:b/>
          <w:color w:val="4A148C"/>
          <w:sz w:val="28"/>
        </w:rPr>
        <w:t>3. Results and Discussion</w:t>
      </w:r>
    </w:p>
    <w:p>
      <w:pPr>
        <w:spacing w:before="200" w:after="80"/>
        <w:jc w:val="center"/>
      </w:pPr>
      <w:r>
        <w:drawing>
          <wp:inline xmlns:a="http://schemas.openxmlformats.org/drawingml/2006/main" xmlns:pic="http://schemas.openxmlformats.org/drawingml/2006/picture">
            <wp:extent cx="5669280" cy="2647741"/>
            <wp:docPr id="4" name="Picture 4"/>
            <wp:cNvGraphicFramePr>
              <a:graphicFrameLocks noChangeAspect="1"/>
            </wp:cNvGraphicFramePr>
            <a:graphic>
              <a:graphicData uri="http://schemas.openxmlformats.org/drawingml/2006/picture">
                <pic:pic>
                  <pic:nvPicPr>
                    <pic:cNvPr id="0" name="fig3_tau_docking_vina_statistical_profiles.png"/>
                    <pic:cNvPicPr/>
                  </pic:nvPicPr>
                  <pic:blipFill>
                    <a:blip r:embed="rId12"/>
                    <a:stretch>
                      <a:fillRect/>
                    </a:stretch>
                  </pic:blipFill>
                  <pic:spPr>
                    <a:xfrm>
                      <a:off x="0" y="0"/>
                      <a:ext cx="5669280" cy="2647741"/>
                    </a:xfrm>
                    <a:prstGeom prst="rect"/>
                  </pic:spPr>
                </pic:pic>
              </a:graphicData>
            </a:graphic>
          </wp:inline>
        </w:drawing>
      </w:r>
    </w:p>
    <w:p>
      <w:pPr>
        <w:spacing w:after="240" w:line="276" w:lineRule="auto"/>
      </w:pPr>
      <w:r>
        <w:rPr>
          <w:b/>
          <w:color w:val="4A148C"/>
          <w:sz w:val="19"/>
        </w:rPr>
        <w:t xml:space="preserve">Figure 3: </w:t>
      </w:r>
      <w:r>
        <w:rPr>
          <w:i/>
          <w:sz w:val="19"/>
        </w:rPr>
        <w:t xml:space="preserve"> Physical Molecular Docking Statistical Profiles on Human Cryo-EM Tau Filaments: (a) Binding energy distributions; (b) Ranking of top 10 high-affinity Tau PHF disaggregators (highlighting EGCG at -5.23 kcal/mol and LMTX at -4.54 kcal/mol).</w:t>
      </w:r>
    </w:p>
    <w:p>
      <w:pPr>
        <w:spacing w:before="200" w:after="80"/>
        <w:jc w:val="center"/>
      </w:pPr>
      <w:r>
        <w:drawing>
          <wp:inline xmlns:a="http://schemas.openxmlformats.org/drawingml/2006/main" xmlns:pic="http://schemas.openxmlformats.org/drawingml/2006/picture">
            <wp:extent cx="5669280" cy="3316952"/>
            <wp:docPr id="5" name="Picture 5"/>
            <wp:cNvGraphicFramePr>
              <a:graphicFrameLocks noChangeAspect="1"/>
            </wp:cNvGraphicFramePr>
            <a:graphic>
              <a:graphicData uri="http://schemas.openxmlformats.org/drawingml/2006/picture">
                <pic:pic>
                  <pic:nvPicPr>
                    <pic:cNvPr id="0" name="fig4_tau_residue_contact_frequency.png"/>
                    <pic:cNvPicPr/>
                  </pic:nvPicPr>
                  <pic:blipFill>
                    <a:blip r:embed="rId13"/>
                    <a:stretch>
                      <a:fillRect/>
                    </a:stretch>
                  </pic:blipFill>
                  <pic:spPr>
                    <a:xfrm>
                      <a:off x="0" y="0"/>
                      <a:ext cx="5669280" cy="3316952"/>
                    </a:xfrm>
                    <a:prstGeom prst="rect"/>
                  </pic:spPr>
                </pic:pic>
              </a:graphicData>
            </a:graphic>
          </wp:inline>
        </w:drawing>
      </w:r>
    </w:p>
    <w:p>
      <w:pPr>
        <w:spacing w:after="240" w:line="276" w:lineRule="auto"/>
      </w:pPr>
      <w:r>
        <w:rPr>
          <w:b/>
          <w:color w:val="4A148C"/>
          <w:sz w:val="19"/>
        </w:rPr>
        <w:t xml:space="preserve">Figure 4: </w:t>
      </w:r>
      <w:r>
        <w:rPr>
          <w:i/>
          <w:sz w:val="19"/>
        </w:rPr>
        <w:t xml:space="preserve"> Residue-Level Interaction Fingerprints on Human Tau Filaments: Contact frequency analysis demonstrating dominant interactions with cross-beta core residues Gly335, Leu357, Gln336, and Val337.</w:t>
      </w:r>
    </w:p>
    <w:p/>
    <w:p>
      <w:r>
        <w:rPr>
          <w:b/>
          <w:sz w:val="20"/>
        </w:rPr>
        <w:t>Table 1: Physicochemical, Topological, and Quantum CDFT Descriptors for Representative Alzheimer/Tau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A148C"/>
            <w:tcMar>
              <w:top w:w="80" w:type="dxa"/>
              <w:bottom w:w="80" w:type="dxa"/>
              <w:left w:w="100" w:type="dxa"/>
              <w:right w:w="100" w:type="dxa"/>
            </w:tcMar>
          </w:tcPr>
          <w:p>
            <w:r>
              <w:rPr>
                <w:b/>
                <w:color w:val="FFFFFF"/>
                <w:sz w:val="18"/>
              </w:rPr>
              <w:t>Compound</w:t>
            </w:r>
          </w:p>
        </w:tc>
        <w:tc>
          <w:tcPr>
            <w:tcW w:type="dxa" w:w="1337"/>
            <w:shd w:fill="4A148C"/>
            <w:tcMar>
              <w:top w:w="80" w:type="dxa"/>
              <w:bottom w:w="80" w:type="dxa"/>
              <w:left w:w="100" w:type="dxa"/>
              <w:right w:w="100" w:type="dxa"/>
            </w:tcMar>
          </w:tcPr>
          <w:p>
            <w:r>
              <w:rPr>
                <w:b/>
                <w:color w:val="FFFFFF"/>
                <w:sz w:val="18"/>
              </w:rPr>
              <w:t>Class</w:t>
            </w:r>
          </w:p>
        </w:tc>
        <w:tc>
          <w:tcPr>
            <w:tcW w:type="dxa" w:w="1337"/>
            <w:shd w:fill="4A148C"/>
            <w:tcMar>
              <w:top w:w="80" w:type="dxa"/>
              <w:bottom w:w="80" w:type="dxa"/>
              <w:left w:w="100" w:type="dxa"/>
              <w:right w:w="100" w:type="dxa"/>
            </w:tcMar>
          </w:tcPr>
          <w:p>
            <w:r>
              <w:rPr>
                <w:b/>
                <w:color w:val="FFFFFF"/>
                <w:sz w:val="18"/>
              </w:rPr>
              <w:t>MW (g/mol)</w:t>
            </w:r>
          </w:p>
        </w:tc>
        <w:tc>
          <w:tcPr>
            <w:tcW w:type="dxa" w:w="1337"/>
            <w:shd w:fill="4A148C"/>
            <w:tcMar>
              <w:top w:w="80" w:type="dxa"/>
              <w:bottom w:w="80" w:type="dxa"/>
              <w:left w:w="100" w:type="dxa"/>
              <w:right w:w="100" w:type="dxa"/>
            </w:tcMar>
          </w:tcPr>
          <w:p>
            <w:r>
              <w:rPr>
                <w:b/>
                <w:color w:val="FFFFFF"/>
                <w:sz w:val="18"/>
              </w:rPr>
              <w:t>LogP</w:t>
            </w:r>
          </w:p>
        </w:tc>
        <w:tc>
          <w:tcPr>
            <w:tcW w:type="dxa" w:w="1337"/>
            <w:shd w:fill="4A148C"/>
            <w:tcMar>
              <w:top w:w="80" w:type="dxa"/>
              <w:bottom w:w="80" w:type="dxa"/>
              <w:left w:w="100" w:type="dxa"/>
              <w:right w:w="100" w:type="dxa"/>
            </w:tcMar>
          </w:tcPr>
          <w:p>
            <w:r>
              <w:rPr>
                <w:b/>
                <w:color w:val="FFFFFF"/>
                <w:sz w:val="18"/>
              </w:rPr>
              <w:t>PSA (Å²)</w:t>
            </w:r>
          </w:p>
        </w:tc>
        <w:tc>
          <w:tcPr>
            <w:tcW w:type="dxa" w:w="1337"/>
            <w:shd w:fill="4A148C"/>
            <w:tcMar>
              <w:top w:w="80" w:type="dxa"/>
              <w:bottom w:w="80" w:type="dxa"/>
              <w:left w:w="100" w:type="dxa"/>
              <w:right w:w="100" w:type="dxa"/>
            </w:tcMar>
          </w:tcPr>
          <w:p>
            <w:r>
              <w:rPr>
                <w:b/>
                <w:color w:val="FFFFFF"/>
                <w:sz w:val="18"/>
              </w:rPr>
              <w:t>E_HOMO (eV)</w:t>
            </w:r>
          </w:p>
        </w:tc>
        <w:tc>
          <w:tcPr>
            <w:tcW w:type="dxa" w:w="1337"/>
            <w:shd w:fill="4A148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Hydromethylthionine</w:t>
            </w:r>
          </w:p>
        </w:tc>
        <w:tc>
          <w:tcPr>
            <w:tcW w:type="dxa" w:w="1337"/>
            <w:tcMar>
              <w:top w:w="60" w:type="dxa"/>
              <w:bottom w:w="60" w:type="dxa"/>
              <w:left w:w="80" w:type="dxa"/>
              <w:right w:w="80" w:type="dxa"/>
            </w:tcMar>
          </w:tcPr>
          <w:p>
            <w:r>
              <w:rPr>
                <w:sz w:val="17"/>
              </w:rPr>
              <w:t>Direct Tau Aggregation</w:t>
            </w:r>
          </w:p>
        </w:tc>
        <w:tc>
          <w:tcPr>
            <w:tcW w:type="dxa" w:w="1337"/>
            <w:tcMar>
              <w:top w:w="60" w:type="dxa"/>
              <w:bottom w:w="60" w:type="dxa"/>
              <w:left w:w="80" w:type="dxa"/>
              <w:right w:w="80" w:type="dxa"/>
            </w:tcMar>
          </w:tcPr>
          <w:p>
            <w:r>
              <w:rPr>
                <w:sz w:val="17"/>
              </w:rPr>
              <w:t>270.4</w:t>
            </w:r>
          </w:p>
        </w:tc>
        <w:tc>
          <w:tcPr>
            <w:tcW w:type="dxa" w:w="1337"/>
            <w:tcMar>
              <w:top w:w="60" w:type="dxa"/>
              <w:bottom w:w="60" w:type="dxa"/>
              <w:left w:w="80" w:type="dxa"/>
              <w:right w:w="80" w:type="dxa"/>
            </w:tcMar>
          </w:tcPr>
          <w:p>
            <w:r>
              <w:rPr>
                <w:sz w:val="17"/>
              </w:rPr>
              <w:t>4.19</w:t>
            </w:r>
          </w:p>
        </w:tc>
        <w:tc>
          <w:tcPr>
            <w:tcW w:type="dxa" w:w="1337"/>
            <w:tcMar>
              <w:top w:w="60" w:type="dxa"/>
              <w:bottom w:w="60" w:type="dxa"/>
              <w:left w:w="80" w:type="dxa"/>
              <w:right w:w="80" w:type="dxa"/>
            </w:tcMar>
          </w:tcPr>
          <w:p>
            <w:r>
              <w:rPr>
                <w:sz w:val="17"/>
              </w:rPr>
              <w:t>6.5</w:t>
            </w:r>
          </w:p>
        </w:tc>
        <w:tc>
          <w:tcPr>
            <w:tcW w:type="dxa" w:w="1337"/>
            <w:tcMar>
              <w:top w:w="60" w:type="dxa"/>
              <w:bottom w:w="60" w:type="dxa"/>
              <w:left w:w="80" w:type="dxa"/>
              <w:right w:w="80" w:type="dxa"/>
            </w:tcMar>
          </w:tcPr>
          <w:p>
            <w:r>
              <w:rPr>
                <w:sz w:val="17"/>
              </w:rPr>
              <w:t>-6.10</w:t>
            </w:r>
          </w:p>
        </w:tc>
        <w:tc>
          <w:tcPr>
            <w:tcW w:type="dxa" w:w="1337"/>
            <w:tcMar>
              <w:top w:w="60" w:type="dxa"/>
              <w:bottom w:w="60" w:type="dxa"/>
              <w:left w:w="80" w:type="dxa"/>
              <w:right w:w="80" w:type="dxa"/>
            </w:tcMar>
          </w:tcPr>
          <w:p>
            <w:r>
              <w:rPr>
                <w:sz w:val="17"/>
              </w:rPr>
              <w:t>3.81</w:t>
            </w:r>
          </w:p>
        </w:tc>
      </w:tr>
      <w:tr>
        <w:tc>
          <w:tcPr>
            <w:tcW w:type="dxa" w:w="1337"/>
            <w:tcMar>
              <w:top w:w="60" w:type="dxa"/>
              <w:bottom w:w="60" w:type="dxa"/>
              <w:left w:w="80" w:type="dxa"/>
              <w:right w:w="80" w:type="dxa"/>
            </w:tcMar>
          </w:tcPr>
          <w:p>
            <w:r>
              <w:rPr>
                <w:sz w:val="17"/>
              </w:rPr>
              <w:t>Methylene Blue</w:t>
            </w:r>
          </w:p>
        </w:tc>
        <w:tc>
          <w:tcPr>
            <w:tcW w:type="dxa" w:w="1337"/>
            <w:tcMar>
              <w:top w:w="60" w:type="dxa"/>
              <w:bottom w:w="60" w:type="dxa"/>
              <w:left w:w="80" w:type="dxa"/>
              <w:right w:w="80" w:type="dxa"/>
            </w:tcMar>
          </w:tcPr>
          <w:p>
            <w:r>
              <w:rPr>
                <w:sz w:val="17"/>
              </w:rPr>
              <w:t>Phenothiazine Tau Disa</w:t>
            </w:r>
          </w:p>
        </w:tc>
        <w:tc>
          <w:tcPr>
            <w:tcW w:type="dxa" w:w="1337"/>
            <w:tcMar>
              <w:top w:w="60" w:type="dxa"/>
              <w:bottom w:w="60" w:type="dxa"/>
              <w:left w:w="80" w:type="dxa"/>
              <w:right w:w="80" w:type="dxa"/>
            </w:tcMar>
          </w:tcPr>
          <w:p>
            <w:r>
              <w:rPr>
                <w:sz w:val="17"/>
              </w:rPr>
              <w:t>319.9</w:t>
            </w:r>
          </w:p>
        </w:tc>
        <w:tc>
          <w:tcPr>
            <w:tcW w:type="dxa" w:w="1337"/>
            <w:tcMar>
              <w:top w:w="60" w:type="dxa"/>
              <w:bottom w:w="60" w:type="dxa"/>
              <w:left w:w="80" w:type="dxa"/>
              <w:right w:w="80" w:type="dxa"/>
            </w:tcMar>
          </w:tcPr>
          <w:p>
            <w:r>
              <w:rPr>
                <w:sz w:val="17"/>
              </w:rPr>
              <w:t>-0.50</w:t>
            </w:r>
          </w:p>
        </w:tc>
        <w:tc>
          <w:tcPr>
            <w:tcW w:type="dxa" w:w="1337"/>
            <w:tcMar>
              <w:top w:w="60" w:type="dxa"/>
              <w:bottom w:w="60" w:type="dxa"/>
              <w:left w:w="80" w:type="dxa"/>
              <w:right w:w="80" w:type="dxa"/>
            </w:tcMar>
          </w:tcPr>
          <w:p>
            <w:r>
              <w:rPr>
                <w:sz w:val="17"/>
              </w:rPr>
              <w:t>19.1</w:t>
            </w:r>
          </w:p>
        </w:tc>
        <w:tc>
          <w:tcPr>
            <w:tcW w:type="dxa" w:w="1337"/>
            <w:tcMar>
              <w:top w:w="60" w:type="dxa"/>
              <w:bottom w:w="60" w:type="dxa"/>
              <w:left w:w="80" w:type="dxa"/>
              <w:right w:w="80" w:type="dxa"/>
            </w:tcMar>
          </w:tcPr>
          <w:p>
            <w:r>
              <w:rPr>
                <w:sz w:val="17"/>
              </w:rPr>
              <w:t>-5.16</w:t>
            </w:r>
          </w:p>
        </w:tc>
        <w:tc>
          <w:tcPr>
            <w:tcW w:type="dxa" w:w="1337"/>
            <w:tcMar>
              <w:top w:w="60" w:type="dxa"/>
              <w:bottom w:w="60" w:type="dxa"/>
              <w:left w:w="80" w:type="dxa"/>
              <w:right w:w="80" w:type="dxa"/>
            </w:tcMar>
          </w:tcPr>
          <w:p>
            <w:r>
              <w:rPr>
                <w:sz w:val="17"/>
              </w:rPr>
              <w:t>2.38</w:t>
            </w:r>
          </w:p>
        </w:tc>
      </w:tr>
      <w:tr>
        <w:tc>
          <w:tcPr>
            <w:tcW w:type="dxa" w:w="1337"/>
            <w:tcMar>
              <w:top w:w="60" w:type="dxa"/>
              <w:bottom w:w="60" w:type="dxa"/>
              <w:left w:w="80" w:type="dxa"/>
              <w:right w:w="80" w:type="dxa"/>
            </w:tcMar>
          </w:tcPr>
          <w:p>
            <w:r>
              <w:rPr>
                <w:sz w:val="17"/>
              </w:rPr>
              <w:t>Curcumin</w:t>
            </w:r>
          </w:p>
        </w:tc>
        <w:tc>
          <w:tcPr>
            <w:tcW w:type="dxa" w:w="1337"/>
            <w:tcMar>
              <w:top w:w="60" w:type="dxa"/>
              <w:bottom w:w="60" w:type="dxa"/>
              <w:left w:w="80" w:type="dxa"/>
              <w:right w:w="80" w:type="dxa"/>
            </w:tcMar>
          </w:tcPr>
          <w:p>
            <w:r>
              <w:rPr>
                <w:sz w:val="17"/>
              </w:rPr>
              <w:t>Beta-Sheet Intercalato</w:t>
            </w:r>
          </w:p>
        </w:tc>
        <w:tc>
          <w:tcPr>
            <w:tcW w:type="dxa" w:w="1337"/>
            <w:tcMar>
              <w:top w:w="60" w:type="dxa"/>
              <w:bottom w:w="60" w:type="dxa"/>
              <w:left w:w="80" w:type="dxa"/>
              <w:right w:w="80" w:type="dxa"/>
            </w:tcMar>
          </w:tcPr>
          <w:p>
            <w:r>
              <w:rPr>
                <w:sz w:val="17"/>
              </w:rPr>
              <w:t>368.4</w:t>
            </w:r>
          </w:p>
        </w:tc>
        <w:tc>
          <w:tcPr>
            <w:tcW w:type="dxa" w:w="1337"/>
            <w:tcMar>
              <w:top w:w="60" w:type="dxa"/>
              <w:bottom w:w="60" w:type="dxa"/>
              <w:left w:w="80" w:type="dxa"/>
              <w:right w:w="80" w:type="dxa"/>
            </w:tcMar>
          </w:tcPr>
          <w:p>
            <w:r>
              <w:rPr>
                <w:sz w:val="17"/>
              </w:rPr>
              <w:t>3.37</w:t>
            </w:r>
          </w:p>
        </w:tc>
        <w:tc>
          <w:tcPr>
            <w:tcW w:type="dxa" w:w="1337"/>
            <w:tcMar>
              <w:top w:w="60" w:type="dxa"/>
              <w:bottom w:w="60" w:type="dxa"/>
              <w:left w:w="80" w:type="dxa"/>
              <w:right w:w="80" w:type="dxa"/>
            </w:tcMar>
          </w:tcPr>
          <w:p>
            <w:r>
              <w:rPr>
                <w:sz w:val="17"/>
              </w:rPr>
              <w:t>93.1</w:t>
            </w:r>
          </w:p>
        </w:tc>
        <w:tc>
          <w:tcPr>
            <w:tcW w:type="dxa" w:w="1337"/>
            <w:tcMar>
              <w:top w:w="60" w:type="dxa"/>
              <w:bottom w:w="60" w:type="dxa"/>
              <w:left w:w="80" w:type="dxa"/>
              <w:right w:w="80" w:type="dxa"/>
            </w:tcMar>
          </w:tcPr>
          <w:p>
            <w:r>
              <w:rPr>
                <w:sz w:val="17"/>
              </w:rPr>
              <w:t>-5.73</w:t>
            </w:r>
          </w:p>
        </w:tc>
        <w:tc>
          <w:tcPr>
            <w:tcW w:type="dxa" w:w="1337"/>
            <w:tcMar>
              <w:top w:w="60" w:type="dxa"/>
              <w:bottom w:w="60" w:type="dxa"/>
              <w:left w:w="80" w:type="dxa"/>
              <w:right w:w="80" w:type="dxa"/>
            </w:tcMar>
          </w:tcPr>
          <w:p>
            <w:r>
              <w:rPr>
                <w:sz w:val="17"/>
              </w:rPr>
              <w:t>3.10</w:t>
            </w:r>
          </w:p>
        </w:tc>
      </w:tr>
      <w:tr>
        <w:tc>
          <w:tcPr>
            <w:tcW w:type="dxa" w:w="1337"/>
            <w:tcMar>
              <w:top w:w="60" w:type="dxa"/>
              <w:bottom w:w="60" w:type="dxa"/>
              <w:left w:w="80" w:type="dxa"/>
              <w:right w:w="80" w:type="dxa"/>
            </w:tcMar>
          </w:tcPr>
          <w:p>
            <w:r>
              <w:rPr>
                <w:sz w:val="17"/>
              </w:rPr>
              <w:t>EGCG</w:t>
            </w:r>
          </w:p>
        </w:tc>
        <w:tc>
          <w:tcPr>
            <w:tcW w:type="dxa" w:w="1337"/>
            <w:tcMar>
              <w:top w:w="60" w:type="dxa"/>
              <w:bottom w:w="60" w:type="dxa"/>
              <w:left w:w="80" w:type="dxa"/>
              <w:right w:w="80" w:type="dxa"/>
            </w:tcMar>
          </w:tcPr>
          <w:p>
            <w:r>
              <w:rPr>
                <w:sz w:val="17"/>
              </w:rPr>
              <w:t>Polyphenolic Fibril Re</w:t>
            </w:r>
          </w:p>
        </w:tc>
        <w:tc>
          <w:tcPr>
            <w:tcW w:type="dxa" w:w="1337"/>
            <w:tcMar>
              <w:top w:w="60" w:type="dxa"/>
              <w:bottom w:w="60" w:type="dxa"/>
              <w:left w:w="80" w:type="dxa"/>
              <w:right w:w="80" w:type="dxa"/>
            </w:tcMar>
          </w:tcPr>
          <w:p>
            <w:r>
              <w:rPr>
                <w:sz w:val="17"/>
              </w:rPr>
              <w:t>442.4</w:t>
            </w:r>
          </w:p>
        </w:tc>
        <w:tc>
          <w:tcPr>
            <w:tcW w:type="dxa" w:w="1337"/>
            <w:tcMar>
              <w:top w:w="60" w:type="dxa"/>
              <w:bottom w:w="60" w:type="dxa"/>
              <w:left w:w="80" w:type="dxa"/>
              <w:right w:w="80" w:type="dxa"/>
            </w:tcMar>
          </w:tcPr>
          <w:p>
            <w:r>
              <w:rPr>
                <w:sz w:val="17"/>
              </w:rPr>
              <w:t>2.52</w:t>
            </w:r>
          </w:p>
        </w:tc>
        <w:tc>
          <w:tcPr>
            <w:tcW w:type="dxa" w:w="1337"/>
            <w:tcMar>
              <w:top w:w="60" w:type="dxa"/>
              <w:bottom w:w="60" w:type="dxa"/>
              <w:left w:w="80" w:type="dxa"/>
              <w:right w:w="80" w:type="dxa"/>
            </w:tcMar>
          </w:tcPr>
          <w:p>
            <w:r>
              <w:rPr>
                <w:sz w:val="17"/>
              </w:rPr>
              <w:t>177.1</w:t>
            </w:r>
          </w:p>
        </w:tc>
        <w:tc>
          <w:tcPr>
            <w:tcW w:type="dxa" w:w="1337"/>
            <w:tcMar>
              <w:top w:w="60" w:type="dxa"/>
              <w:bottom w:w="60" w:type="dxa"/>
              <w:left w:w="80" w:type="dxa"/>
              <w:right w:w="80" w:type="dxa"/>
            </w:tcMar>
          </w:tcPr>
          <w:p>
            <w:r>
              <w:rPr>
                <w:sz w:val="17"/>
              </w:rPr>
              <w:t>-5.17</w:t>
            </w:r>
          </w:p>
        </w:tc>
        <w:tc>
          <w:tcPr>
            <w:tcW w:type="dxa" w:w="1337"/>
            <w:tcMar>
              <w:top w:w="60" w:type="dxa"/>
              <w:bottom w:w="60" w:type="dxa"/>
              <w:left w:w="80" w:type="dxa"/>
              <w:right w:w="80" w:type="dxa"/>
            </w:tcMar>
          </w:tcPr>
          <w:p>
            <w:r>
              <w:rPr>
                <w:sz w:val="17"/>
              </w:rPr>
              <w:t>2.50</w:t>
            </w:r>
          </w:p>
        </w:tc>
      </w:tr>
      <w:tr>
        <w:tc>
          <w:tcPr>
            <w:tcW w:type="dxa" w:w="1337"/>
            <w:tcMar>
              <w:top w:w="60" w:type="dxa"/>
              <w:bottom w:w="60" w:type="dxa"/>
              <w:left w:w="80" w:type="dxa"/>
              <w:right w:w="80" w:type="dxa"/>
            </w:tcMar>
          </w:tcPr>
          <w:p>
            <w:r>
              <w:rPr>
                <w:sz w:val="17"/>
              </w:rPr>
              <w:t>Resveratrol</w:t>
            </w:r>
          </w:p>
        </w:tc>
        <w:tc>
          <w:tcPr>
            <w:tcW w:type="dxa" w:w="1337"/>
            <w:tcMar>
              <w:top w:w="60" w:type="dxa"/>
              <w:bottom w:w="60" w:type="dxa"/>
              <w:left w:w="80" w:type="dxa"/>
              <w:right w:w="80" w:type="dxa"/>
            </w:tcMar>
          </w:tcPr>
          <w:p>
            <w:r>
              <w:rPr>
                <w:sz w:val="17"/>
              </w:rPr>
              <w:t xml:space="preserve">SIRT1 Activator &amp; Tau </w:t>
            </w:r>
          </w:p>
        </w:tc>
        <w:tc>
          <w:tcPr>
            <w:tcW w:type="dxa" w:w="1337"/>
            <w:tcMar>
              <w:top w:w="60" w:type="dxa"/>
              <w:bottom w:w="60" w:type="dxa"/>
              <w:left w:w="80" w:type="dxa"/>
              <w:right w:w="80" w:type="dxa"/>
            </w:tcMar>
          </w:tcPr>
          <w:p>
            <w:r>
              <w:rPr>
                <w:sz w:val="17"/>
              </w:rPr>
              <w:t>228.2</w:t>
            </w:r>
          </w:p>
        </w:tc>
        <w:tc>
          <w:tcPr>
            <w:tcW w:type="dxa" w:w="1337"/>
            <w:tcMar>
              <w:top w:w="60" w:type="dxa"/>
              <w:bottom w:w="60" w:type="dxa"/>
              <w:left w:w="80" w:type="dxa"/>
              <w:right w:w="80" w:type="dxa"/>
            </w:tcMar>
          </w:tcPr>
          <w:p>
            <w:r>
              <w:rPr>
                <w:sz w:val="17"/>
              </w:rPr>
              <w:t>2.97</w:t>
            </w:r>
          </w:p>
        </w:tc>
        <w:tc>
          <w:tcPr>
            <w:tcW w:type="dxa" w:w="1337"/>
            <w:tcMar>
              <w:top w:w="60" w:type="dxa"/>
              <w:bottom w:w="60" w:type="dxa"/>
              <w:left w:w="80" w:type="dxa"/>
              <w:right w:w="80" w:type="dxa"/>
            </w:tcMar>
          </w:tcPr>
          <w:p>
            <w:r>
              <w:rPr>
                <w:sz w:val="17"/>
              </w:rPr>
              <w:t>60.7</w:t>
            </w:r>
          </w:p>
        </w:tc>
        <w:tc>
          <w:tcPr>
            <w:tcW w:type="dxa" w:w="1337"/>
            <w:tcMar>
              <w:top w:w="60" w:type="dxa"/>
              <w:bottom w:w="60" w:type="dxa"/>
              <w:left w:w="80" w:type="dxa"/>
              <w:right w:w="80" w:type="dxa"/>
            </w:tcMar>
          </w:tcPr>
          <w:p>
            <w:r>
              <w:rPr>
                <w:sz w:val="17"/>
              </w:rPr>
              <w:t>-5.57</w:t>
            </w:r>
          </w:p>
        </w:tc>
        <w:tc>
          <w:tcPr>
            <w:tcW w:type="dxa" w:w="1337"/>
            <w:tcMar>
              <w:top w:w="60" w:type="dxa"/>
              <w:bottom w:w="60" w:type="dxa"/>
              <w:left w:w="80" w:type="dxa"/>
              <w:right w:w="80" w:type="dxa"/>
            </w:tcMar>
          </w:tcPr>
          <w:p>
            <w:r>
              <w:rPr>
                <w:sz w:val="17"/>
              </w:rPr>
              <w:t>3.33</w:t>
            </w:r>
          </w:p>
        </w:tc>
      </w:tr>
      <w:tr>
        <w:tc>
          <w:tcPr>
            <w:tcW w:type="dxa" w:w="1337"/>
            <w:tcMar>
              <w:top w:w="60" w:type="dxa"/>
              <w:bottom w:w="60" w:type="dxa"/>
              <w:left w:w="80" w:type="dxa"/>
              <w:right w:w="80" w:type="dxa"/>
            </w:tcMar>
          </w:tcPr>
          <w:p>
            <w:r>
              <w:rPr>
                <w:sz w:val="17"/>
              </w:rPr>
              <w:t>Rosmarinic Acid</w:t>
            </w:r>
          </w:p>
        </w:tc>
        <w:tc>
          <w:tcPr>
            <w:tcW w:type="dxa" w:w="1337"/>
            <w:tcMar>
              <w:top w:w="60" w:type="dxa"/>
              <w:bottom w:w="60" w:type="dxa"/>
              <w:left w:w="80" w:type="dxa"/>
              <w:right w:w="80" w:type="dxa"/>
            </w:tcMar>
          </w:tcPr>
          <w:p>
            <w:r>
              <w:rPr>
                <w:sz w:val="17"/>
              </w:rPr>
              <w:t>Polyphenolic Tau Desta</w:t>
            </w:r>
          </w:p>
        </w:tc>
        <w:tc>
          <w:tcPr>
            <w:tcW w:type="dxa" w:w="1337"/>
            <w:tcMar>
              <w:top w:w="60" w:type="dxa"/>
              <w:bottom w:w="60" w:type="dxa"/>
              <w:left w:w="80" w:type="dxa"/>
              <w:right w:w="80" w:type="dxa"/>
            </w:tcMar>
          </w:tcPr>
          <w:p>
            <w:r>
              <w:rPr>
                <w:sz w:val="17"/>
              </w:rPr>
              <w:t>360.3</w:t>
            </w:r>
          </w:p>
        </w:tc>
        <w:tc>
          <w:tcPr>
            <w:tcW w:type="dxa" w:w="1337"/>
            <w:tcMar>
              <w:top w:w="60" w:type="dxa"/>
              <w:bottom w:w="60" w:type="dxa"/>
              <w:left w:w="80" w:type="dxa"/>
              <w:right w:w="80" w:type="dxa"/>
            </w:tcMar>
          </w:tcPr>
          <w:p>
            <w:r>
              <w:rPr>
                <w:sz w:val="17"/>
              </w:rPr>
              <w:t>1.76</w:t>
            </w:r>
          </w:p>
        </w:tc>
        <w:tc>
          <w:tcPr>
            <w:tcW w:type="dxa" w:w="1337"/>
            <w:tcMar>
              <w:top w:w="60" w:type="dxa"/>
              <w:bottom w:w="60" w:type="dxa"/>
              <w:left w:w="80" w:type="dxa"/>
              <w:right w:w="80" w:type="dxa"/>
            </w:tcMar>
          </w:tcPr>
          <w:p>
            <w:r>
              <w:rPr>
                <w:sz w:val="17"/>
              </w:rPr>
              <w:t>144.5</w:t>
            </w:r>
          </w:p>
        </w:tc>
        <w:tc>
          <w:tcPr>
            <w:tcW w:type="dxa" w:w="1337"/>
            <w:tcMar>
              <w:top w:w="60" w:type="dxa"/>
              <w:bottom w:w="60" w:type="dxa"/>
              <w:left w:w="80" w:type="dxa"/>
              <w:right w:w="80" w:type="dxa"/>
            </w:tcMar>
          </w:tcPr>
          <w:p>
            <w:r>
              <w:rPr>
                <w:sz w:val="17"/>
              </w:rPr>
              <w:t>-5.17</w:t>
            </w:r>
          </w:p>
        </w:tc>
        <w:tc>
          <w:tcPr>
            <w:tcW w:type="dxa" w:w="1337"/>
            <w:tcMar>
              <w:top w:w="60" w:type="dxa"/>
              <w:bottom w:w="60" w:type="dxa"/>
              <w:left w:w="80" w:type="dxa"/>
              <w:right w:w="80" w:type="dxa"/>
            </w:tcMar>
          </w:tcPr>
          <w:p>
            <w:r>
              <w:rPr>
                <w:sz w:val="17"/>
              </w:rPr>
              <w:t>2.55</w:t>
            </w:r>
          </w:p>
        </w:tc>
      </w:tr>
      <w:tr>
        <w:tc>
          <w:tcPr>
            <w:tcW w:type="dxa" w:w="1337"/>
            <w:tcMar>
              <w:top w:w="60" w:type="dxa"/>
              <w:bottom w:w="60" w:type="dxa"/>
              <w:left w:w="80" w:type="dxa"/>
              <w:right w:w="80" w:type="dxa"/>
            </w:tcMar>
          </w:tcPr>
          <w:p>
            <w:r>
              <w:rPr>
                <w:sz w:val="17"/>
              </w:rPr>
              <w:t>Baicalein</w:t>
            </w:r>
          </w:p>
        </w:tc>
        <w:tc>
          <w:tcPr>
            <w:tcW w:type="dxa" w:w="1337"/>
            <w:tcMar>
              <w:top w:w="60" w:type="dxa"/>
              <w:bottom w:w="60" w:type="dxa"/>
              <w:left w:w="80" w:type="dxa"/>
              <w:right w:w="80" w:type="dxa"/>
            </w:tcMar>
          </w:tcPr>
          <w:p>
            <w:r>
              <w:rPr>
                <w:sz w:val="17"/>
              </w:rPr>
              <w:t>Flavonoid Tau Oligomer</w:t>
            </w:r>
          </w:p>
        </w:tc>
        <w:tc>
          <w:tcPr>
            <w:tcW w:type="dxa" w:w="1337"/>
            <w:tcMar>
              <w:top w:w="60" w:type="dxa"/>
              <w:bottom w:w="60" w:type="dxa"/>
              <w:left w:w="80" w:type="dxa"/>
              <w:right w:w="80" w:type="dxa"/>
            </w:tcMar>
          </w:tcPr>
          <w:p>
            <w:r>
              <w:rPr>
                <w:sz w:val="17"/>
              </w:rPr>
              <w:t>270.2</w:t>
            </w:r>
          </w:p>
        </w:tc>
        <w:tc>
          <w:tcPr>
            <w:tcW w:type="dxa" w:w="1337"/>
            <w:tcMar>
              <w:top w:w="60" w:type="dxa"/>
              <w:bottom w:w="60" w:type="dxa"/>
              <w:left w:w="80" w:type="dxa"/>
              <w:right w:w="80" w:type="dxa"/>
            </w:tcMar>
          </w:tcPr>
          <w:p>
            <w:r>
              <w:rPr>
                <w:sz w:val="17"/>
              </w:rPr>
              <w:t>2.58</w:t>
            </w:r>
          </w:p>
        </w:tc>
        <w:tc>
          <w:tcPr>
            <w:tcW w:type="dxa" w:w="1337"/>
            <w:tcMar>
              <w:top w:w="60" w:type="dxa"/>
              <w:bottom w:w="60" w:type="dxa"/>
              <w:left w:w="80" w:type="dxa"/>
              <w:right w:w="80" w:type="dxa"/>
            </w:tcMar>
          </w:tcPr>
          <w:p>
            <w:r>
              <w:rPr>
                <w:sz w:val="17"/>
              </w:rPr>
              <w:t>90.9</w:t>
            </w:r>
          </w:p>
        </w:tc>
        <w:tc>
          <w:tcPr>
            <w:tcW w:type="dxa" w:w="1337"/>
            <w:tcMar>
              <w:top w:w="60" w:type="dxa"/>
              <w:bottom w:w="60" w:type="dxa"/>
              <w:left w:w="80" w:type="dxa"/>
              <w:right w:w="80" w:type="dxa"/>
            </w:tcMar>
          </w:tcPr>
          <w:p>
            <w:r>
              <w:rPr>
                <w:sz w:val="17"/>
              </w:rPr>
              <w:t>-5.54</w:t>
            </w:r>
          </w:p>
        </w:tc>
        <w:tc>
          <w:tcPr>
            <w:tcW w:type="dxa" w:w="1337"/>
            <w:tcMar>
              <w:top w:w="60" w:type="dxa"/>
              <w:bottom w:w="60" w:type="dxa"/>
              <w:left w:w="80" w:type="dxa"/>
              <w:right w:w="80" w:type="dxa"/>
            </w:tcMar>
          </w:tcPr>
          <w:p>
            <w:r>
              <w:rPr>
                <w:sz w:val="17"/>
              </w:rPr>
              <w:t>3.09</w:t>
            </w:r>
          </w:p>
        </w:tc>
      </w:tr>
      <w:tr>
        <w:tc>
          <w:tcPr>
            <w:tcW w:type="dxa" w:w="1337"/>
            <w:tcMar>
              <w:top w:w="60" w:type="dxa"/>
              <w:bottom w:w="60" w:type="dxa"/>
              <w:left w:w="80" w:type="dxa"/>
              <w:right w:w="80" w:type="dxa"/>
            </w:tcMar>
          </w:tcPr>
          <w:p>
            <w:r>
              <w:rPr>
                <w:sz w:val="17"/>
              </w:rPr>
              <w:t>Myricetin</w:t>
            </w:r>
          </w:p>
        </w:tc>
        <w:tc>
          <w:tcPr>
            <w:tcW w:type="dxa" w:w="1337"/>
            <w:tcMar>
              <w:top w:w="60" w:type="dxa"/>
              <w:bottom w:w="60" w:type="dxa"/>
              <w:left w:w="80" w:type="dxa"/>
              <w:right w:w="80" w:type="dxa"/>
            </w:tcMar>
          </w:tcPr>
          <w:p>
            <w:r>
              <w:rPr>
                <w:sz w:val="17"/>
              </w:rPr>
              <w:t>Flavonoid Tau Assembly</w:t>
            </w:r>
          </w:p>
        </w:tc>
        <w:tc>
          <w:tcPr>
            <w:tcW w:type="dxa" w:w="1337"/>
            <w:tcMar>
              <w:top w:w="60" w:type="dxa"/>
              <w:bottom w:w="60" w:type="dxa"/>
              <w:left w:w="80" w:type="dxa"/>
              <w:right w:w="80" w:type="dxa"/>
            </w:tcMar>
          </w:tcPr>
          <w:p>
            <w:r>
              <w:rPr>
                <w:sz w:val="17"/>
              </w:rPr>
              <w:t>318.2</w:t>
            </w:r>
          </w:p>
        </w:tc>
        <w:tc>
          <w:tcPr>
            <w:tcW w:type="dxa" w:w="1337"/>
            <w:tcMar>
              <w:top w:w="60" w:type="dxa"/>
              <w:bottom w:w="60" w:type="dxa"/>
              <w:left w:w="80" w:type="dxa"/>
              <w:right w:w="80" w:type="dxa"/>
            </w:tcMar>
          </w:tcPr>
          <w:p>
            <w:r>
              <w:rPr>
                <w:sz w:val="17"/>
              </w:rPr>
              <w:t>1.69</w:t>
            </w:r>
          </w:p>
        </w:tc>
        <w:tc>
          <w:tcPr>
            <w:tcW w:type="dxa" w:w="1337"/>
            <w:tcMar>
              <w:top w:w="60" w:type="dxa"/>
              <w:bottom w:w="60" w:type="dxa"/>
              <w:left w:w="80" w:type="dxa"/>
              <w:right w:w="80" w:type="dxa"/>
            </w:tcMar>
          </w:tcPr>
          <w:p>
            <w:r>
              <w:rPr>
                <w:sz w:val="17"/>
              </w:rPr>
              <w:t>151.6</w:t>
            </w:r>
          </w:p>
        </w:tc>
        <w:tc>
          <w:tcPr>
            <w:tcW w:type="dxa" w:w="1337"/>
            <w:tcMar>
              <w:top w:w="60" w:type="dxa"/>
              <w:bottom w:w="60" w:type="dxa"/>
              <w:left w:w="80" w:type="dxa"/>
              <w:right w:w="80" w:type="dxa"/>
            </w:tcMar>
          </w:tcPr>
          <w:p>
            <w:r>
              <w:rPr>
                <w:sz w:val="17"/>
              </w:rPr>
              <w:t>-5.12</w:t>
            </w:r>
          </w:p>
        </w:tc>
        <w:tc>
          <w:tcPr>
            <w:tcW w:type="dxa" w:w="1337"/>
            <w:tcMar>
              <w:top w:w="60" w:type="dxa"/>
              <w:bottom w:w="60" w:type="dxa"/>
              <w:left w:w="80" w:type="dxa"/>
              <w:right w:w="80" w:type="dxa"/>
            </w:tcMar>
          </w:tcPr>
          <w:p>
            <w:r>
              <w:rPr>
                <w:sz w:val="17"/>
              </w:rPr>
              <w:t>2.51</w:t>
            </w:r>
          </w:p>
        </w:tc>
      </w:tr>
      <w:tr>
        <w:tc>
          <w:tcPr>
            <w:tcW w:type="dxa" w:w="1337"/>
            <w:tcMar>
              <w:top w:w="60" w:type="dxa"/>
              <w:bottom w:w="60" w:type="dxa"/>
              <w:left w:w="80" w:type="dxa"/>
              <w:right w:w="80" w:type="dxa"/>
            </w:tcMar>
          </w:tcPr>
          <w:p>
            <w:r>
              <w:rPr>
                <w:sz w:val="17"/>
              </w:rPr>
              <w:t>Quercetin</w:t>
            </w:r>
          </w:p>
        </w:tc>
        <w:tc>
          <w:tcPr>
            <w:tcW w:type="dxa" w:w="1337"/>
            <w:tcMar>
              <w:top w:w="60" w:type="dxa"/>
              <w:bottom w:w="60" w:type="dxa"/>
              <w:left w:w="80" w:type="dxa"/>
              <w:right w:w="80" w:type="dxa"/>
            </w:tcMar>
          </w:tcPr>
          <w:p>
            <w:r>
              <w:rPr>
                <w:sz w:val="17"/>
              </w:rPr>
              <w:t>Flavonoid Neuroprotect</w:t>
            </w:r>
          </w:p>
        </w:tc>
        <w:tc>
          <w:tcPr>
            <w:tcW w:type="dxa" w:w="1337"/>
            <w:tcMar>
              <w:top w:w="60" w:type="dxa"/>
              <w:bottom w:w="60" w:type="dxa"/>
              <w:left w:w="80" w:type="dxa"/>
              <w:right w:w="80" w:type="dxa"/>
            </w:tcMar>
          </w:tcPr>
          <w:p>
            <w:r>
              <w:rPr>
                <w:sz w:val="17"/>
              </w:rPr>
              <w:t>302.2</w:t>
            </w:r>
          </w:p>
        </w:tc>
        <w:tc>
          <w:tcPr>
            <w:tcW w:type="dxa" w:w="1337"/>
            <w:tcMar>
              <w:top w:w="60" w:type="dxa"/>
              <w:bottom w:w="60" w:type="dxa"/>
              <w:left w:w="80" w:type="dxa"/>
              <w:right w:w="80" w:type="dxa"/>
            </w:tcMar>
          </w:tcPr>
          <w:p>
            <w:r>
              <w:rPr>
                <w:sz w:val="17"/>
              </w:rPr>
              <w:t>1.99</w:t>
            </w:r>
          </w:p>
        </w:tc>
        <w:tc>
          <w:tcPr>
            <w:tcW w:type="dxa" w:w="1337"/>
            <w:tcMar>
              <w:top w:w="60" w:type="dxa"/>
              <w:bottom w:w="60" w:type="dxa"/>
              <w:left w:w="80" w:type="dxa"/>
              <w:right w:w="80" w:type="dxa"/>
            </w:tcMar>
          </w:tcPr>
          <w:p>
            <w:r>
              <w:rPr>
                <w:sz w:val="17"/>
              </w:rPr>
              <w:t>131.4</w:t>
            </w:r>
          </w:p>
        </w:tc>
        <w:tc>
          <w:tcPr>
            <w:tcW w:type="dxa" w:w="1337"/>
            <w:tcMar>
              <w:top w:w="60" w:type="dxa"/>
              <w:bottom w:w="60" w:type="dxa"/>
              <w:left w:w="80" w:type="dxa"/>
              <w:right w:w="80" w:type="dxa"/>
            </w:tcMar>
          </w:tcPr>
          <w:p>
            <w:r>
              <w:rPr>
                <w:sz w:val="17"/>
              </w:rPr>
              <w:t>-5.26</w:t>
            </w:r>
          </w:p>
        </w:tc>
        <w:tc>
          <w:tcPr>
            <w:tcW w:type="dxa" w:w="1337"/>
            <w:tcMar>
              <w:top w:w="60" w:type="dxa"/>
              <w:bottom w:w="60" w:type="dxa"/>
              <w:left w:w="80" w:type="dxa"/>
              <w:right w:w="80" w:type="dxa"/>
            </w:tcMar>
          </w:tcPr>
          <w:p>
            <w:r>
              <w:rPr>
                <w:sz w:val="17"/>
              </w:rPr>
              <w:t>2.70</w:t>
            </w:r>
          </w:p>
        </w:tc>
      </w:tr>
      <w:tr>
        <w:tc>
          <w:tcPr>
            <w:tcW w:type="dxa" w:w="1337"/>
            <w:tcMar>
              <w:top w:w="60" w:type="dxa"/>
              <w:bottom w:w="60" w:type="dxa"/>
              <w:left w:w="80" w:type="dxa"/>
              <w:right w:w="80" w:type="dxa"/>
            </w:tcMar>
          </w:tcPr>
          <w:p>
            <w:r>
              <w:rPr>
                <w:sz w:val="17"/>
              </w:rPr>
              <w:t>Fisetin</w:t>
            </w:r>
          </w:p>
        </w:tc>
        <w:tc>
          <w:tcPr>
            <w:tcW w:type="dxa" w:w="1337"/>
            <w:tcMar>
              <w:top w:w="60" w:type="dxa"/>
              <w:bottom w:w="60" w:type="dxa"/>
              <w:left w:w="80" w:type="dxa"/>
              <w:right w:w="80" w:type="dxa"/>
            </w:tcMar>
          </w:tcPr>
          <w:p>
            <w:r>
              <w:rPr>
                <w:sz w:val="17"/>
              </w:rPr>
              <w:t>Senolytic &amp; Tau Disagg</w:t>
            </w:r>
          </w:p>
        </w:tc>
        <w:tc>
          <w:tcPr>
            <w:tcW w:type="dxa" w:w="1337"/>
            <w:tcMar>
              <w:top w:w="60" w:type="dxa"/>
              <w:bottom w:w="60" w:type="dxa"/>
              <w:left w:w="80" w:type="dxa"/>
              <w:right w:w="80" w:type="dxa"/>
            </w:tcMar>
          </w:tcPr>
          <w:p>
            <w:r>
              <w:rPr>
                <w:sz w:val="17"/>
              </w:rPr>
              <w:t>286.2</w:t>
            </w:r>
          </w:p>
        </w:tc>
        <w:tc>
          <w:tcPr>
            <w:tcW w:type="dxa" w:w="1337"/>
            <w:tcMar>
              <w:top w:w="60" w:type="dxa"/>
              <w:bottom w:w="60" w:type="dxa"/>
              <w:left w:w="80" w:type="dxa"/>
              <w:right w:w="80" w:type="dxa"/>
            </w:tcMar>
          </w:tcPr>
          <w:p>
            <w:r>
              <w:rPr>
                <w:sz w:val="17"/>
              </w:rPr>
              <w:t>2.28</w:t>
            </w:r>
          </w:p>
        </w:tc>
        <w:tc>
          <w:tcPr>
            <w:tcW w:type="dxa" w:w="1337"/>
            <w:tcMar>
              <w:top w:w="60" w:type="dxa"/>
              <w:bottom w:w="60" w:type="dxa"/>
              <w:left w:w="80" w:type="dxa"/>
              <w:right w:w="80" w:type="dxa"/>
            </w:tcMar>
          </w:tcPr>
          <w:p>
            <w:r>
              <w:rPr>
                <w:sz w:val="17"/>
              </w:rPr>
              <w:t>111.1</w:t>
            </w:r>
          </w:p>
        </w:tc>
        <w:tc>
          <w:tcPr>
            <w:tcW w:type="dxa" w:w="1337"/>
            <w:tcMar>
              <w:top w:w="60" w:type="dxa"/>
              <w:bottom w:w="60" w:type="dxa"/>
              <w:left w:w="80" w:type="dxa"/>
              <w:right w:w="80" w:type="dxa"/>
            </w:tcMar>
          </w:tcPr>
          <w:p>
            <w:r>
              <w:rPr>
                <w:sz w:val="17"/>
              </w:rPr>
              <w:t>-5.40</w:t>
            </w:r>
          </w:p>
        </w:tc>
        <w:tc>
          <w:tcPr>
            <w:tcW w:type="dxa" w:w="1337"/>
            <w:tcMar>
              <w:top w:w="60" w:type="dxa"/>
              <w:bottom w:w="60" w:type="dxa"/>
              <w:left w:w="80" w:type="dxa"/>
              <w:right w:w="80" w:type="dxa"/>
            </w:tcMar>
          </w:tcPr>
          <w:p>
            <w:r>
              <w:rPr>
                <w:sz w:val="17"/>
              </w:rPr>
              <w:t>2.89</w:t>
            </w:r>
          </w:p>
        </w:tc>
      </w:tr>
    </w:tbl>
    <w:p>
      <w:pPr>
        <w:spacing w:before="200" w:after="80"/>
        <w:jc w:val="center"/>
      </w:pPr>
      <w:r>
        <w:drawing>
          <wp:inline xmlns:a="http://schemas.openxmlformats.org/drawingml/2006/main" xmlns:pic="http://schemas.openxmlformats.org/drawingml/2006/picture">
            <wp:extent cx="5669280" cy="1961416"/>
            <wp:docPr id="6" name="Picture 6"/>
            <wp:cNvGraphicFramePr>
              <a:graphicFrameLocks noChangeAspect="1"/>
            </wp:cNvGraphicFramePr>
            <a:graphic>
              <a:graphicData uri="http://schemas.openxmlformats.org/drawingml/2006/picture">
                <pic:pic>
                  <pic:nvPicPr>
                    <pic:cNvPr id="0" name="fig5_tau_parity_models_evaluation.png"/>
                    <pic:cNvPicPr/>
                  </pic:nvPicPr>
                  <pic:blipFill>
                    <a:blip r:embed="rId14"/>
                    <a:stretch>
                      <a:fillRect/>
                    </a:stretch>
                  </pic:blipFill>
                  <pic:spPr>
                    <a:xfrm>
                      <a:off x="0" y="0"/>
                      <a:ext cx="5669280" cy="1961416"/>
                    </a:xfrm>
                    <a:prstGeom prst="rect"/>
                  </pic:spPr>
                </pic:pic>
              </a:graphicData>
            </a:graphic>
          </wp:inline>
        </w:drawing>
      </w:r>
    </w:p>
    <w:p>
      <w:pPr>
        <w:spacing w:after="240" w:line="276" w:lineRule="auto"/>
      </w:pPr>
      <w:r>
        <w:rPr>
          <w:b/>
          <w:color w:val="4A148C"/>
          <w:sz w:val="19"/>
        </w:rPr>
        <w:t xml:space="preserve">Figure 5: </w:t>
      </w:r>
      <w:r>
        <w:rPr>
          <w:i/>
          <w:sz w:val="19"/>
        </w:rPr>
        <w:t xml:space="preserve"> Parity Plots (Predicted vs Observed Delta_G) for Machine Learning Nano-QSAR Models on 2D Borophene Systems.</w:t>
      </w:r>
    </w:p>
    <w:p>
      <w:pPr>
        <w:spacing w:before="200" w:after="80"/>
        <w:jc w:val="center"/>
      </w:pPr>
      <w:r>
        <w:drawing>
          <wp:inline xmlns:a="http://schemas.openxmlformats.org/drawingml/2006/main" xmlns:pic="http://schemas.openxmlformats.org/drawingml/2006/picture">
            <wp:extent cx="5669280" cy="2894637"/>
            <wp:docPr id="7" name="Picture 7"/>
            <wp:cNvGraphicFramePr>
              <a:graphicFrameLocks noChangeAspect="1"/>
            </wp:cNvGraphicFramePr>
            <a:graphic>
              <a:graphicData uri="http://schemas.openxmlformats.org/drawingml/2006/picture">
                <pic:pic>
                  <pic:nvPicPr>
                    <pic:cNvPr id="0" name="fig6_tau_shap_xai_importance_rankings.png"/>
                    <pic:cNvPicPr/>
                  </pic:nvPicPr>
                  <pic:blipFill>
                    <a:blip r:embed="rId15"/>
                    <a:stretch>
                      <a:fillRect/>
                    </a:stretch>
                  </pic:blipFill>
                  <pic:spPr>
                    <a:xfrm>
                      <a:off x="0" y="0"/>
                      <a:ext cx="5669280" cy="2894637"/>
                    </a:xfrm>
                    <a:prstGeom prst="rect"/>
                  </pic:spPr>
                </pic:pic>
              </a:graphicData>
            </a:graphic>
          </wp:inline>
        </w:drawing>
      </w:r>
    </w:p>
    <w:p>
      <w:pPr>
        <w:spacing w:after="240" w:line="276" w:lineRule="auto"/>
      </w:pPr>
      <w:r>
        <w:rPr>
          <w:b/>
          <w:color w:val="4A148C"/>
          <w:sz w:val="19"/>
        </w:rPr>
        <w:t xml:space="preserve">Figure 6: </w:t>
      </w:r>
      <w:r>
        <w:rPr>
          <w:i/>
          <w:sz w:val="19"/>
        </w:rPr>
        <w:t xml:space="preserve"> Explainable AI (SHAP) Feature Importance Rankings for 2D Borophene Delivery.</w:t>
      </w:r>
    </w:p>
    <w:p>
      <w:pPr>
        <w:spacing w:before="200" w:after="80"/>
        <w:jc w:val="center"/>
      </w:pPr>
      <w:r>
        <w:drawing>
          <wp:inline xmlns:a="http://schemas.openxmlformats.org/drawingml/2006/main" xmlns:pic="http://schemas.openxmlformats.org/drawingml/2006/picture">
            <wp:extent cx="5669280" cy="4996142"/>
            <wp:docPr id="8" name="Picture 8"/>
            <wp:cNvGraphicFramePr>
              <a:graphicFrameLocks noChangeAspect="1"/>
            </wp:cNvGraphicFramePr>
            <a:graphic>
              <a:graphicData uri="http://schemas.openxmlformats.org/drawingml/2006/picture">
                <pic:pic>
                  <pic:nvPicPr>
                    <pic:cNvPr id="0" name="fig7_tau_descriptor_correlation_matrix.png"/>
                    <pic:cNvPicPr/>
                  </pic:nvPicPr>
                  <pic:blipFill>
                    <a:blip r:embed="rId16"/>
                    <a:stretch>
                      <a:fillRect/>
                    </a:stretch>
                  </pic:blipFill>
                  <pic:spPr>
                    <a:xfrm>
                      <a:off x="0" y="0"/>
                      <a:ext cx="5669280" cy="4996142"/>
                    </a:xfrm>
                    <a:prstGeom prst="rect"/>
                  </pic:spPr>
                </pic:pic>
              </a:graphicData>
            </a:graphic>
          </wp:inline>
        </w:drawing>
      </w:r>
    </w:p>
    <w:p>
      <w:pPr>
        <w:spacing w:after="240" w:line="276" w:lineRule="auto"/>
      </w:pPr>
      <w:r>
        <w:rPr>
          <w:b/>
          <w:color w:val="4A148C"/>
          <w:sz w:val="19"/>
        </w:rPr>
        <w:t xml:space="preserve">Figure 7: </w:t>
      </w:r>
      <w:r>
        <w:rPr>
          <w:i/>
          <w:sz w:val="19"/>
        </w:rPr>
        <w:t xml:space="preserve"> Pearson Inter-Descriptor Correlation Heatmap (20 Descriptors across 29 Alzheimer/Tau Therapeutics).</w:t>
      </w:r>
    </w:p>
    <w:p>
      <w:pPr>
        <w:spacing w:before="200" w:after="80"/>
        <w:jc w:val="center"/>
      </w:pPr>
      <w:r>
        <w:drawing>
          <wp:inline xmlns:a="http://schemas.openxmlformats.org/drawingml/2006/main" xmlns:pic="http://schemas.openxmlformats.org/drawingml/2006/picture">
            <wp:extent cx="5669280" cy="1970130"/>
            <wp:docPr id="9" name="Picture 9"/>
            <wp:cNvGraphicFramePr>
              <a:graphicFrameLocks noChangeAspect="1"/>
            </wp:cNvGraphicFramePr>
            <a:graphic>
              <a:graphicData uri="http://schemas.openxmlformats.org/drawingml/2006/picture">
                <pic:pic>
                  <pic:nvPicPr>
                    <pic:cNvPr id="0" name="fig8_tau_williams_applicability_domain.png"/>
                    <pic:cNvPicPr/>
                  </pic:nvPicPr>
                  <pic:blipFill>
                    <a:blip r:embed="rId17"/>
                    <a:stretch>
                      <a:fillRect/>
                    </a:stretch>
                  </pic:blipFill>
                  <pic:spPr>
                    <a:xfrm>
                      <a:off x="0" y="0"/>
                      <a:ext cx="5669280" cy="1970130"/>
                    </a:xfrm>
                    <a:prstGeom prst="rect"/>
                  </pic:spPr>
                </pic:pic>
              </a:graphicData>
            </a:graphic>
          </wp:inline>
        </w:drawing>
      </w:r>
    </w:p>
    <w:p>
      <w:pPr>
        <w:spacing w:after="240" w:line="276" w:lineRule="auto"/>
      </w:pPr>
      <w:r>
        <w:rPr>
          <w:b/>
          <w:color w:val="4A148C"/>
          <w:sz w:val="19"/>
        </w:rPr>
        <w:t xml:space="preserve">Figure 8: </w:t>
      </w:r>
      <w:r>
        <w:rPr>
          <w:i/>
          <w:sz w:val="19"/>
        </w:rPr>
        <w:t xml:space="preserve"> OECD Principle 3: Williams Plots Defining the Applicability Domain for Tau Therapeutics on 2D Borophene.</w:t>
      </w:r>
    </w:p>
    <w:p>
      <w:pPr>
        <w:spacing w:before="200" w:after="80"/>
        <w:jc w:val="center"/>
      </w:pPr>
      <w:r>
        <w:drawing>
          <wp:inline xmlns:a="http://schemas.openxmlformats.org/drawingml/2006/main" xmlns:pic="http://schemas.openxmlformats.org/drawingml/2006/picture">
            <wp:extent cx="5669280" cy="1809400"/>
            <wp:docPr id="10" name="Picture 10"/>
            <wp:cNvGraphicFramePr>
              <a:graphicFrameLocks noChangeAspect="1"/>
            </wp:cNvGraphicFramePr>
            <a:graphic>
              <a:graphicData uri="http://schemas.openxmlformats.org/drawingml/2006/picture">
                <pic:pic>
                  <pic:nvPicPr>
                    <pic:cNvPr id="0" name="fig9_tau_3d_spatial_binding_modes.png"/>
                    <pic:cNvPicPr/>
                  </pic:nvPicPr>
                  <pic:blipFill>
                    <a:blip r:embed="rId18"/>
                    <a:stretch>
                      <a:fillRect/>
                    </a:stretch>
                  </pic:blipFill>
                  <pic:spPr>
                    <a:xfrm>
                      <a:off x="0" y="0"/>
                      <a:ext cx="5669280" cy="1809400"/>
                    </a:xfrm>
                    <a:prstGeom prst="rect"/>
                  </pic:spPr>
                </pic:pic>
              </a:graphicData>
            </a:graphic>
          </wp:inline>
        </w:drawing>
      </w:r>
    </w:p>
    <w:p>
      <w:pPr>
        <w:spacing w:after="240" w:line="276" w:lineRule="auto"/>
      </w:pPr>
      <w:r>
        <w:rPr>
          <w:b/>
          <w:color w:val="4A148C"/>
          <w:sz w:val="19"/>
        </w:rPr>
        <w:t xml:space="preserve">Figure 9: </w:t>
      </w:r>
      <w:r>
        <w:rPr>
          <w:i/>
          <w:sz w:val="19"/>
        </w:rPr>
        <w:t xml:space="preserve"> Atomistic 3D Spatial Binding Modes: (a) EGCG intercalated in the Tau protofilament cleft; (b) Hydromethylthionine (LMTX) binding mode; (c) EGCG interfacial multicenter coordination on 2D Borophene monolayer.</w:t>
      </w:r>
    </w:p>
    <w:p>
      <w:pPr>
        <w:pStyle w:val="Heading1"/>
        <w:keepNext/>
        <w:spacing w:before="280" w:after="120"/>
      </w:pPr>
      <w:r>
        <w:rPr>
          <w:rFonts w:ascii="Times New Roman" w:hAnsi="Times New Roman"/>
          <w:b/>
          <w:color w:val="4A148C"/>
          <w:sz w:val="28"/>
        </w:rPr>
        <w:t>4. Conclusions</w:t>
      </w:r>
    </w:p>
    <w:p>
      <w:r>
        <w:t>This multi-scale investigation demonstrates that functionalized 2D Borophene nanosheets exhibit superior multicenter bonding, favorable BBB transcytosis potential, and optimal delivery energetics for the targeted disaggregation of neurofibrillary Tau tangles in Alzheimer's disease.</w:t>
      </w:r>
    </w:p>
    <w:p>
      <w:pPr>
        <w:pStyle w:val="Heading1"/>
        <w:keepNext/>
        <w:spacing w:before="280" w:after="120"/>
      </w:pPr>
      <w:r>
        <w:rPr>
          <w:rFonts w:ascii="Times New Roman" w:hAnsi="Times New Roman"/>
          <w:b/>
          <w:color w:val="4A148C"/>
          <w:sz w:val="28"/>
        </w:rPr>
        <w:t>Acknowledgements &amp; Data Availability</w:t>
      </w:r>
    </w:p>
    <w:p>
      <w:r>
        <w:t>Supported by Universidad Estatal de Sonora and Universidad de Sonora. Full code and docking PDBQT files are available in the repository.</w:t>
      </w:r>
    </w:p>
    <w:p>
      <w:pPr>
        <w:pStyle w:val="Heading1"/>
        <w:keepNext/>
        <w:spacing w:before="280" w:after="120"/>
      </w:pPr>
      <w:r>
        <w:rPr>
          <w:rFonts w:ascii="Times New Roman" w:hAnsi="Times New Roman"/>
          <w:b/>
          <w:color w:val="4A148C"/>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(3), 202–229. </w:t>
      </w:r>
      <w:r>
        <w:rPr>
          <w:i/>
          <w:color w:val="4A148C"/>
          <w:sz w:val="18"/>
        </w:rPr>
        <w:t>doi:10.3322/caac.21718</w:t>
      </w:r>
    </w:p>
    <w:p>
      <w:pPr>
        <w:spacing w:after="60"/>
        <w:ind w:left="576"/>
      </w:pPr>
      <w:r>
        <w:rPr>
          <w:b/>
        </w:rPr>
        <w:t xml:space="preserve">2. </w:t>
      </w:r>
      <w:r>
        <w:t xml:space="preserve">Foulkes, W. D.; Smith, I. E.; Reis-Filho, J. S. Triple-negative breast cancer. N. Engl. J. Med. 2010, 363 (20), 1938–1948. </w:t>
      </w:r>
      <w:r>
        <w:rPr>
          <w:i/>
          <w:color w:val="4A148C"/>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4A148C"/>
          <w:sz w:val="18"/>
        </w:rPr>
        <w:t>doi:10.1126/science.aam7344</w:t>
      </w:r>
    </w:p>
    <w:p>
      <w:pPr>
        <w:spacing w:after="60"/>
        <w:ind w:left="576"/>
      </w:pPr>
      <w:r>
        <w:rPr>
          <w:b/>
        </w:rPr>
        <w:t xml:space="preserve">4. </w:t>
      </w:r>
      <w:r>
        <w:t xml:space="preserve">Mateo, J.; Lord, C. J.; Serra, V.; Tutt, A.; Balmaña, J.; Castroviejo-Bermejo, M.; Cruz, C.; Oaknin, A.; Kaye, S. B.; de Bono, J. S. A decade of clinical development of PARP inhibitors in perspective. Nat. Rev. Clin. Oncol. 2019, 16 (9), 565–583. </w:t>
      </w:r>
      <w:r>
        <w:rPr>
          <w:i/>
          <w:color w:val="4A148C"/>
          <w:sz w:val="18"/>
        </w:rPr>
        <w:t>doi:10.1038/s41571-019-0219-4</w:t>
      </w:r>
    </w:p>
    <w:p>
      <w:pPr>
        <w:spacing w:after="60"/>
        <w:ind w:left="576"/>
      </w:pPr>
      <w:r>
        <w:rPr>
          <w:b/>
        </w:rPr>
        <w:t xml:space="preserve">5. </w:t>
      </w:r>
      <w:r>
        <w:t xml:space="preserve">Robson, M.; Im, S.-A.; Senkus, E.; Xu, B.; Domchek, S. M.; Masuda, N.; Delaloge, S.; Li, W.; Tung, N.; Armstrong, A. et al. Olaparib for metastatic breast cancer in patients with a germline BRCA mutation. N. Engl. J. Med. 2017, 377 (6), 523–533. </w:t>
      </w:r>
      <w:r>
        <w:rPr>
          <w:i/>
          <w:color w:val="4A148C"/>
          <w:sz w:val="18"/>
        </w:rPr>
        <w:t>doi:10.1056/NEJMoa1706450</w:t>
      </w:r>
    </w:p>
    <w:p>
      <w:pPr>
        <w:spacing w:after="60"/>
        <w:ind w:left="576"/>
      </w:pPr>
      <w:r>
        <w:rPr>
          <w:b/>
        </w:rPr>
        <w:t xml:space="preserve">6. </w:t>
      </w:r>
      <w:r>
        <w:t xml:space="preserve">Litton, J. K.; Rugo, H. S.; Ettl, J.; Hurvitz, S. A.; Gonçalves, A.; Lee, K.-H.; Fehrenbacher, L.; Yerushalmi, R.; Mina, L. A.; Martin, M. et al. Talazoparib in patients with advanced breast cancer and a germline BRCA mutation. N. Engl. J. Med. 2018, 379 (8), 753–763. </w:t>
      </w:r>
      <w:r>
        <w:rPr>
          <w:i/>
          <w:color w:val="4A148C"/>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 Cancer Res. 2007, 13 (15), 4429–4434. </w:t>
      </w:r>
      <w:r>
        <w:rPr>
          <w:i/>
          <w:color w:val="4A148C"/>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 Clin. Invest. 2011, 121 (7), 2750–2767. </w:t>
      </w:r>
      <w:r>
        <w:rPr>
          <w:i/>
          <w:color w:val="4A148C"/>
          <w:sz w:val="18"/>
        </w:rPr>
        <w:t>doi:10.1172/JCI45014</w:t>
      </w:r>
    </w:p>
    <w:p>
      <w:pPr>
        <w:spacing w:after="60"/>
        <w:ind w:left="576"/>
      </w:pPr>
      <w:r>
        <w:rPr>
          <w:b/>
        </w:rPr>
        <w:t xml:space="preserve">9. </w:t>
      </w:r>
      <w:r>
        <w:t xml:space="preserve">Bianchini, G.; Balko, J. M.; Mayer, I. A.; Sanders, M. E.; Gianni, L. Triple-negative breast cancer: challenges and emerging therapeutic strategies. Nat. Rev. Clin. Oncol. 2016, 13 (11), 674–690. </w:t>
      </w:r>
      <w:r>
        <w:rPr>
          <w:i/>
          <w:color w:val="4A148C"/>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 Transl. Med. 2016, 8 (362), 362ps17. </w:t>
      </w:r>
      <w:r>
        <w:rPr>
          <w:i/>
          <w:color w:val="4A148C"/>
          <w:sz w:val="18"/>
        </w:rPr>
        <w:t>doi:10.1126/scitranslmed.aaf9246</w:t>
      </w:r>
    </w:p>
    <w:p>
      <w:pPr>
        <w:spacing w:after="60"/>
        <w:ind w:left="576"/>
      </w:pPr>
      <w:r>
        <w:rPr>
          <w:b/>
        </w:rPr>
        <w:t xml:space="preserve">11. </w:t>
      </w:r>
      <w:r>
        <w:t xml:space="preserve">Ciofani, G.; Genchi, G. G.; Liakos, I.; Athanassiou, A.; Dinucci, D.; Chiellini, F.; Mattoli, V. Human cervical and alveolar carcinoma cells response to boron nitride nanotubes: A comparative study. Nanomedicine 2012, 8 (4), 522–530. </w:t>
      </w:r>
      <w:r>
        <w:rPr>
          <w:i/>
          <w:color w:val="4A148C"/>
          <w:sz w:val="18"/>
        </w:rPr>
        <w:t>doi:10.1016/j.nano.2011.07.009</w:t>
      </w:r>
    </w:p>
    <w:p>
      <w:pPr>
        <w:spacing w:after="60"/>
        <w:ind w:left="576"/>
      </w:pPr>
      <w:r>
        <w:rPr>
          <w:b/>
        </w:rPr>
        <w:t xml:space="preserve">12. </w:t>
      </w:r>
      <w:r>
        <w:t xml:space="preserve">Golberg, D.; Bando, Y.; Huang, Y.; Terao, T.; Mitome, M.; Tang, C.; Zhi, C. Boron nitride nanotubes and nanosheets. ACS Nano 2010, 4 (6), 2979–2993. </w:t>
      </w:r>
      <w:r>
        <w:rPr>
          <w:i/>
          <w:color w:val="4A148C"/>
          <w:sz w:val="18"/>
        </w:rPr>
        <w:t>doi:10.1021/nn1006495</w:t>
      </w:r>
    </w:p>
    <w:p>
      <w:pPr>
        <w:spacing w:after="60"/>
        <w:ind w:left="576"/>
      </w:pPr>
      <w:r>
        <w:rPr>
          <w:b/>
        </w:rPr>
        <w:t xml:space="preserve">13. </w:t>
      </w:r>
      <w:r>
        <w:t xml:space="preserve">Ferreira, F. V.; Franceschi, W.; Menezes, B. R. C.; Biagio, P. R.; Coutinho, A. R. Synthesis, functionalization, and applications of carbon and boron nitride nanomaterials in drug delivery. J. Mater. Chem. B 2015, 3 (40), 8000–8018. </w:t>
      </w:r>
      <w:r>
        <w:rPr>
          <w:i/>
          <w:color w:val="4A148C"/>
          <w:sz w:val="18"/>
        </w:rPr>
        <w:t>doi:10.1039/C5TB01185H</w:t>
      </w:r>
    </w:p>
    <w:p>
      <w:pPr>
        <w:spacing w:after="60"/>
        <w:ind w:left="576"/>
      </w:pPr>
      <w:r>
        <w:rPr>
          <w:b/>
        </w:rPr>
        <w:t xml:space="preserve">14. </w:t>
      </w:r>
      <w:r>
        <w:t xml:space="preserve">Chen, X.; Wu, P.; Rousseas, M.; Okawa, D.; Gartner, Z.; Zettl, A.; Bertozzi, C. R. Boron nitride nanotubes are noncytotoxic and can be functionalized for targeted drug delivery. J. Am. Chem. Soc. 2016, 131 (3), 890–891. </w:t>
      </w:r>
      <w:r>
        <w:rPr>
          <w:i/>
          <w:color w:val="4A148C"/>
          <w:sz w:val="18"/>
        </w:rPr>
        <w:t>doi:10.1021/ja807334b</w:t>
      </w:r>
    </w:p>
    <w:p>
      <w:pPr>
        <w:spacing w:after="60"/>
        <w:ind w:left="576"/>
      </w:pPr>
      <w:r>
        <w:rPr>
          <w:b/>
        </w:rPr>
        <w:t xml:space="preserve">15. </w:t>
      </w:r>
      <w:r>
        <w:t xml:space="preserve">Robles-Hernández, J.-S.-L.; Medina, D. I.; Salcedo, R.; Miralrio, A. Quantum and machine learning-guided QSAR/QSPR modeling of therapeutics conjugated to functionalized fullerenes for enhanced anticancer drug delivery. Beilstein J. Nanotechnol. 2024, 15, 1170–1188. </w:t>
      </w:r>
      <w:r>
        <w:rPr>
          <w:i/>
          <w:color w:val="4A148C"/>
          <w:sz w:val="18"/>
        </w:rPr>
        <w:t>doi:10.3762/bjnano.15.96</w:t>
      </w:r>
    </w:p>
    <w:p>
      <w:pPr>
        <w:spacing w:after="60"/>
        <w:ind w:left="576"/>
      </w:pPr>
      <w:r>
        <w:rPr>
          <w:b/>
        </w:rPr>
        <w:t xml:space="preserve">16. </w:t>
      </w:r>
      <w:r>
        <w:t xml:space="preserve">Mukherjee, S.; Roy, S.; Sarkar, A. Structural, electronic, and adsorption properties of pristine and functionalized B36N36 nanocages for drug delivery applications: A DFT perspective. Phys. Chem. Chem. Phys. 2019, 21 (14), 7480–7492. </w:t>
      </w:r>
      <w:r>
        <w:rPr>
          <w:i/>
          <w:color w:val="4A148C"/>
          <w:sz w:val="18"/>
        </w:rPr>
        <w:t>doi:10.1039/C8CP07641A</w:t>
      </w:r>
    </w:p>
    <w:p>
      <w:pPr>
        <w:spacing w:after="60"/>
        <w:ind w:left="576"/>
      </w:pPr>
      <w:r>
        <w:rPr>
          <w:b/>
        </w:rPr>
        <w:t xml:space="preserve">17. </w:t>
      </w:r>
      <w:r>
        <w:t xml:space="preserve">Gao, Z.; Zhi, C.; Bando, Y.; Golberg, D.; Serizawa, T. Noncovalent functionalization of boron nitride nanosheets with hydrophilic polymers for enhanced biocompatibility and cellular uptake. ACS Appl. Mater. Interfaces 2017, 9 (6), 4988–4996. </w:t>
      </w:r>
      <w:r>
        <w:rPr>
          <w:i/>
          <w:color w:val="4A148C"/>
          <w:sz w:val="18"/>
        </w:rPr>
        <w:t>doi:10.1021/acsami.6b14644</w:t>
      </w:r>
    </w:p>
    <w:p>
      <w:pPr>
        <w:spacing w:after="60"/>
        <w:ind w:left="576"/>
      </w:pPr>
      <w:r>
        <w:rPr>
          <w:b/>
        </w:rPr>
        <w:t xml:space="preserve">18. </w:t>
      </w:r>
      <w:r>
        <w:t xml:space="preserve">Weng, Q.; Wang, X.; Bando, Y.; Golberg, D. Functionalized hexagonal boron nitride nanomaterials: emerging properties and applications. Chem. Soc. Rev. 2016, 45 (14), 3989–4012. </w:t>
      </w:r>
      <w:r>
        <w:rPr>
          <w:i/>
          <w:color w:val="4A148C"/>
          <w:sz w:val="18"/>
        </w:rPr>
        <w:t>doi:10.1039/C5CS00869G</w:t>
      </w:r>
    </w:p>
    <w:p>
      <w:pPr>
        <w:spacing w:after="60"/>
        <w:ind w:left="576"/>
      </w:pPr>
      <w:r>
        <w:rPr>
          <w:b/>
        </w:rPr>
        <w:t xml:space="preserve">19. </w:t>
      </w:r>
      <w:r>
        <w:t xml:space="preserve">Emanet, M.; Sen, O.; Çulha, M. Evaluation of biocompatibility and cellular interaction of boron nitride nanoparticles on mammalian cells. Nanotechnology 2015, 26 (39), 395101. </w:t>
      </w:r>
      <w:r>
        <w:rPr>
          <w:i/>
          <w:color w:val="4A148C"/>
          <w:sz w:val="18"/>
        </w:rPr>
        <w:t>doi:10.1088/0957-4484/26/39/395101</w:t>
      </w:r>
    </w:p>
    <w:p>
      <w:pPr>
        <w:spacing w:after="60"/>
        <w:ind w:left="576"/>
      </w:pPr>
      <w:r>
        <w:rPr>
          <w:b/>
        </w:rPr>
        <w:t xml:space="preserve">20. </w:t>
      </w:r>
      <w:r>
        <w:t xml:space="preserve">Singh, B.; Sharma, R.; Kumar, P. Boron nitride nanocages as efficient carriers for fluorouracil and gemcitabine: A theoretical investigation. J. Mol. Liq. 2020, 318, 114032. </w:t>
      </w:r>
      <w:r>
        <w:rPr>
          <w:i/>
          <w:color w:val="4A148C"/>
          <w:sz w:val="18"/>
        </w:rPr>
        <w:t>doi:10.1016/j.molliq.2020.114032</w:t>
      </w:r>
    </w:p>
    <w:p>
      <w:pPr>
        <w:spacing w:after="60"/>
        <w:ind w:left="576"/>
      </w:pPr>
      <w:r>
        <w:rPr>
          <w:b/>
        </w:rPr>
        <w:t xml:space="preserve">21. </w:t>
      </w:r>
      <w:r>
        <w:t xml:space="preserve">Parr, R. G.; Szentpály, L. v.; Liu, S. Electrophilicity index. J. Am. Chem. Soc. 1999, 121 (9), 1922–1924. </w:t>
      </w:r>
      <w:r>
        <w:rPr>
          <w:i/>
          <w:color w:val="4A148C"/>
          <w:sz w:val="18"/>
        </w:rPr>
        <w:t>doi:10.1021/ja983494x</w:t>
      </w:r>
    </w:p>
    <w:p>
      <w:pPr>
        <w:spacing w:after="60"/>
        <w:ind w:left="576"/>
      </w:pPr>
      <w:r>
        <w:rPr>
          <w:b/>
        </w:rPr>
        <w:t xml:space="preserve">22. </w:t>
      </w:r>
      <w:r>
        <w:t xml:space="preserve">Chattaraj, P. K.; Giri, S. Electrophilicity index: applications in chemistry, biology, and materials science. Annu. Rep. Prog. Chem., Sect. C: Phys. Chem. 2009, 105, 13–39. </w:t>
      </w:r>
      <w:r>
        <w:rPr>
          <w:i/>
          <w:color w:val="4A148C"/>
          <w:sz w:val="18"/>
        </w:rPr>
        <w:t>doi:10.1039/B802832J</w:t>
      </w:r>
    </w:p>
    <w:p>
      <w:pPr>
        <w:spacing w:after="60"/>
        <w:ind w:left="576"/>
      </w:pPr>
      <w:r>
        <w:rPr>
          <w:b/>
        </w:rPr>
        <w:t xml:space="preserve">23. </w:t>
      </w:r>
      <w:r>
        <w:t xml:space="preserve">Geerlings, P.; De Proft, F.; Langenaeker, W. Conceptual density functional theory. Chem. Rev. 2003, 103 (5), 1793–1874. </w:t>
      </w:r>
      <w:r>
        <w:rPr>
          <w:i/>
          <w:color w:val="4A148C"/>
          <w:sz w:val="18"/>
        </w:rPr>
        <w:t>doi:10.1021/cr990029p</w:t>
      </w:r>
    </w:p>
    <w:p>
      <w:pPr>
        <w:spacing w:after="60"/>
        <w:ind w:left="576"/>
      </w:pPr>
      <w:r>
        <w:rPr>
          <w:b/>
        </w:rPr>
        <w:t xml:space="preserve">24. </w:t>
      </w:r>
      <w:r>
        <w:t xml:space="preserve">Pearson, R. G. Absolute electronegativity and hardness: application to inorganic and organic chemistry. Inorg. Chem. 1988, 27 (4), 734–740. </w:t>
      </w:r>
      <w:r>
        <w:rPr>
          <w:i/>
          <w:color w:val="4A148C"/>
          <w:sz w:val="18"/>
        </w:rPr>
        <w:t>doi:10.1021/ic00277a030</w:t>
      </w:r>
    </w:p>
    <w:p>
      <w:pPr>
        <w:spacing w:after="60"/>
        <w:ind w:left="576"/>
      </w:pPr>
      <w:r>
        <w:rPr>
          <w:b/>
        </w:rPr>
        <w:t xml:space="preserve">25. </w:t>
      </w:r>
      <w:r>
        <w:t xml:space="preserve">Hourahine, B.; Aradi, B.; Blum, V.; Bonafé, F.; Buccheri, A.; Camacho, C.; Cevallos, C.; Deshaye, M. Y.; Dumitrică, T.; Dominguez, H. et al. DFTB+, a software package for efficient approximate density functional theory based atomistic simulations. J. Chem. Phys. 2020, 152 (12), 124101. </w:t>
      </w:r>
      <w:r>
        <w:rPr>
          <w:i/>
          <w:color w:val="4A148C"/>
          <w:sz w:val="18"/>
        </w:rPr>
        <w:t>doi:10.1063/1.5143190</w:t>
      </w:r>
    </w:p>
    <w:p>
      <w:pPr>
        <w:spacing w:after="60"/>
        <w:ind w:left="576"/>
      </w:pPr>
      <w:r>
        <w:rPr>
          <w:b/>
        </w:rPr>
        <w:t xml:space="preserve">26. </w:t>
      </w:r>
      <w:r>
        <w:t xml:space="preserve">Gaus, M.; Cui, Q.; Elstner, M. DFTB3: Extension of the self-consistent-charge density-functional tight-binding method (SCC-DFTB). J. Chem. Theory Comput. 2011, 7 (4), 931–948. </w:t>
      </w:r>
      <w:r>
        <w:rPr>
          <w:i/>
          <w:color w:val="4A148C"/>
          <w:sz w:val="18"/>
        </w:rPr>
        <w:t>doi:10.1021/ct100684s</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J. Chem. Theory Comput. 2019, 13 (5), 1989–2009. </w:t>
      </w:r>
      <w:r>
        <w:rPr>
          <w:i/>
          <w:color w:val="4A148C"/>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4A148C"/>
          <w:sz w:val="18"/>
        </w:rPr>
        <w:t>doi:10.1016/S0031-8914(34)90011-2</w:t>
      </w:r>
    </w:p>
    <w:p>
      <w:pPr>
        <w:spacing w:after="60"/>
        <w:ind w:left="576"/>
      </w:pPr>
      <w:r>
        <w:rPr>
          <w:b/>
        </w:rPr>
        <w:t xml:space="preserve">29. </w:t>
      </w:r>
      <w:r>
        <w:t xml:space="preserve">Boys, S. F.; Bernardi, F. The calculation of small molecular interactions by the differences of separate total energies. Some procedures with reduced errors. Mol. Phys. 1970, 19 (4), 553–566. </w:t>
      </w:r>
      <w:r>
        <w:rPr>
          <w:i/>
          <w:color w:val="4A148C"/>
          <w:sz w:val="18"/>
        </w:rPr>
        <w:t>doi:10.1080/00268977000101561</w:t>
      </w:r>
    </w:p>
    <w:p>
      <w:pPr>
        <w:spacing w:after="60"/>
        <w:ind w:left="576"/>
      </w:pPr>
      <w:r>
        <w:rPr>
          <w:b/>
        </w:rPr>
        <w:t xml:space="preserve">30. </w:t>
      </w:r>
      <w:r>
        <w:t xml:space="preserve">Miralrio, A.; Medina, D. I. Quantum chemical descriptors in QSAR/QSPR modeling: Applications and perspectives. Molecules 2020, 25 (19), 4474. </w:t>
      </w:r>
      <w:r>
        <w:rPr>
          <w:i/>
          <w:color w:val="4A148C"/>
          <w:sz w:val="18"/>
        </w:rPr>
        <w:t>doi:10.3390/molecules25194474</w:t>
      </w:r>
    </w:p>
    <w:p>
      <w:pPr>
        <w:spacing w:after="60"/>
        <w:ind w:left="576"/>
      </w:pPr>
      <w:r>
        <w:rPr>
          <w:b/>
        </w:rPr>
        <w:t xml:space="preserve">31. </w:t>
      </w:r>
      <w:r>
        <w:t xml:space="preserve">Trott, O.; Olson, A. J. AutoDock Vina: improving the speed and accuracy of docking with a new scoring function, efficient optimization, and multithreading. J. Comput. Chem. 2010, 31 (2), 455–461. </w:t>
      </w:r>
      <w:r>
        <w:rPr>
          <w:i/>
          <w:color w:val="4A148C"/>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 Chem. Inf. Model. 2021, 61 (8), 3891–3898. </w:t>
      </w:r>
      <w:r>
        <w:rPr>
          <w:i/>
          <w:color w:val="4A148C"/>
          <w:sz w:val="18"/>
        </w:rPr>
        <w:t>doi:10.1021/acs.jcim.1c00203</w:t>
      </w:r>
    </w:p>
    <w:p>
      <w:pPr>
        <w:spacing w:after="60"/>
        <w:ind w:left="576"/>
      </w:pPr>
      <w:r>
        <w:rPr>
          <w:b/>
        </w:rPr>
        <w:t xml:space="preserve">33. </w:t>
      </w:r>
      <w:r>
        <w:t xml:space="preserve">Papeo, G.; Posteri, H.; Borghi, D.; Busel, A. A.; Caprera, F.; Casale, E.; Ciomei, M.; Cirla, A.; Corti, L.; D'Anello, M. et al. Discovery of 2-[4-(trifluoromethyl)phenyl]-7,8-dihydro-5H-thiopyrano[4,3-d]pyrimidin-4-ol (NMS-P118): a potent, orally available, and highly selective PARP-1 inhibitor. J. Med. Chem. 2014, 57 (16), 6993–7005. </w:t>
      </w:r>
      <w:r>
        <w:rPr>
          <w:i/>
          <w:color w:val="4A148C"/>
          <w:sz w:val="18"/>
        </w:rPr>
        <w:t>doi:10.1021/jm5006456</w:t>
      </w:r>
    </w:p>
    <w:p>
      <w:pPr>
        <w:spacing w:after="60"/>
        <w:ind w:left="576"/>
      </w:pPr>
      <w:r>
        <w:rPr>
          <w:b/>
        </w:rPr>
        <w:t xml:space="preserve">34. </w:t>
      </w:r>
      <w:r>
        <w:t xml:space="preserve">Riniker, S.; Landrum, G. A. Better informed distance geometry: using knowledge to improve conformer generation in RDKit. J. Chem. Inf. Model. 2015, 55 (12), 2562–2574. </w:t>
      </w:r>
      <w:r>
        <w:rPr>
          <w:i/>
          <w:color w:val="4A148C"/>
          <w:sz w:val="18"/>
        </w:rPr>
        <w:t>doi:10.1021/acs.jcim.5b00424</w:t>
      </w:r>
    </w:p>
    <w:p>
      <w:pPr>
        <w:spacing w:after="60"/>
        <w:ind w:left="576"/>
      </w:pPr>
      <w:r>
        <w:rPr>
          <w:b/>
        </w:rPr>
        <w:t xml:space="preserve">35. </w:t>
      </w:r>
      <w:r>
        <w:t xml:space="preserve">Landrum, G. et al. RDKit: Open-source cheminformatics toolkit. Version 2023.09.1, http://www.rdkit.org (accessed August 2026). </w:t>
      </w:r>
      <w:r>
        <w:rPr>
          <w:i/>
          <w:color w:val="4A148C"/>
          <w:sz w:val="18"/>
        </w:rPr>
        <w:t>doi:10.5281/zenodo.597034</w:t>
      </w:r>
    </w:p>
    <w:p>
      <w:pPr>
        <w:spacing w:after="60"/>
        <w:ind w:left="576"/>
      </w:pPr>
      <w:r>
        <w:rPr>
          <w:b/>
        </w:rPr>
        <w:t xml:space="preserve">36. </w:t>
      </w:r>
      <w:r>
        <w:t xml:space="preserve">Berman, H. M.; Westbrook, J.; Feng, Z.; Gilliland, G.; Bhat, T. N.; Weissig, H.; Shindyalov, I. N.; Bourne, P. E. The Protein Data Bank. Nucleic Acids Res. 2000, 28 (1), 235–242. </w:t>
      </w:r>
      <w:r>
        <w:rPr>
          <w:i/>
          <w:color w:val="4A148C"/>
          <w:sz w:val="18"/>
        </w:rPr>
        <w:t>doi:10.1093/nar/28.1.235</w:t>
      </w:r>
    </w:p>
    <w:p>
      <w:pPr>
        <w:spacing w:after="60"/>
        <w:ind w:left="576"/>
      </w:pPr>
      <w:r>
        <w:rPr>
          <w:b/>
        </w:rPr>
        <w:t xml:space="preserve">37. </w:t>
      </w:r>
      <w:r>
        <w:t xml:space="preserve">Delaney, J. S. ESOL: Estimating aqueous solubility directly from molecular structure. J. Chem. Inf. Comput. Sci. 2004, 44 (3), 1000–1005. </w:t>
      </w:r>
      <w:r>
        <w:rPr>
          <w:i/>
          <w:color w:val="4A148C"/>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 2018, 46 (D1), D1074–D1082. </w:t>
      </w:r>
      <w:r>
        <w:rPr>
          <w:i/>
          <w:color w:val="4A148C"/>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w:t>
      </w:r>
      <w:r>
        <w:rPr>
          <w:i/>
          <w:color w:val="4A148C"/>
          <w:sz w:val="18"/>
        </w:rPr>
        <w:t>doi:10.48550/arXiv.1705.07874</w:t>
      </w:r>
    </w:p>
    <w:p>
      <w:pPr>
        <w:spacing w:after="60"/>
        <w:ind w:left="576"/>
      </w:pPr>
      <w:r>
        <w:rPr>
          <w:b/>
        </w:rPr>
        <w:t xml:space="preserve">40. </w:t>
      </w:r>
      <w:r>
        <w:t xml:space="preserve">Chen, T.; Guestrin, C. XGBoost: A scalable tree boosting system. In Proceedings of the 22nd ACM SIGKDD International Conference on Knowledge Discovery and Data Mining; ACM: New York, NY, 2016; pp 785–794. </w:t>
      </w:r>
      <w:r>
        <w:rPr>
          <w:i/>
          <w:color w:val="4A148C"/>
          <w:sz w:val="18"/>
        </w:rPr>
        <w:t>doi:10.1145/2939672.2939785</w:t>
      </w:r>
    </w:p>
    <w:p>
      <w:pPr>
        <w:spacing w:after="60"/>
        <w:ind w:left="576"/>
      </w:pPr>
      <w:r>
        <w:rPr>
          <w:b/>
        </w:rPr>
        <w:t xml:space="preserve">41. </w:t>
      </w:r>
      <w:r>
        <w:t xml:space="preserve">Geurts, P.; Ernst, D.; Wehenkel, L. Extremely randomized trees. Mach. Learn. 2006, 63 (1), 3–42. </w:t>
      </w:r>
      <w:r>
        <w:rPr>
          <w:i/>
          <w:color w:val="4A148C"/>
          <w:sz w:val="18"/>
        </w:rPr>
        <w:t>doi:10.1007/s10994-006-6226-1</w:t>
      </w:r>
    </w:p>
    <w:p>
      <w:pPr>
        <w:spacing w:after="60"/>
        <w:ind w:left="576"/>
      </w:pPr>
      <w:r>
        <w:rPr>
          <w:b/>
        </w:rPr>
        <w:t xml:space="preserve">42. </w:t>
      </w:r>
      <w:r>
        <w:t xml:space="preserve">OECD. Guidance Document on the Validation of (Quantitative) Structure-Activity Relationship [(Q)SAR] Models. OECD Series on Testing and Assessment, No. 69; OECD Publishing: Paris, France, 2007. </w:t>
      </w:r>
      <w:r>
        <w:rPr>
          <w:i/>
          <w:color w:val="4A148C"/>
          <w:sz w:val="18"/>
        </w:rPr>
        <w:t>doi:10.1787/9789264085442-en</w:t>
      </w:r>
    </w:p>
    <w:p>
      <w:pPr>
        <w:spacing w:after="60"/>
        <w:ind w:left="576"/>
      </w:pPr>
      <w:r>
        <w:rPr>
          <w:b/>
        </w:rPr>
        <w:t xml:space="preserve">43. </w:t>
      </w:r>
      <w:r>
        <w:t xml:space="preserve">Gramatica, P. Principles of QSAR models validation: internal and external. QSAR Comb. Sci. 2007, 26 (5), 694–701. </w:t>
      </w:r>
      <w:r>
        <w:rPr>
          <w:i/>
          <w:color w:val="4A148C"/>
          <w:sz w:val="18"/>
        </w:rPr>
        <w:t>doi:10.1002/qsar.200610151</w:t>
      </w:r>
    </w:p>
    <w:p>
      <w:pPr>
        <w:spacing w:after="60"/>
        <w:ind w:left="576"/>
      </w:pPr>
      <w:r>
        <w:rPr>
          <w:b/>
        </w:rPr>
        <w:t xml:space="preserve">44. </w:t>
      </w:r>
      <w:r>
        <w:t xml:space="preserve">Rodríguez-Pérez, R.; Bajorath, J. Interpretation of machine learning models using shapley additive explanations (SHAP) in chemistry and drug discovery. J. Med. Chem. 2020, 63 (16), 8677–8688. </w:t>
      </w:r>
      <w:r>
        <w:rPr>
          <w:i/>
          <w:color w:val="4A148C"/>
          <w:sz w:val="18"/>
        </w:rPr>
        <w:t>doi:10.1021/acs.jmedchem.9b01101</w:t>
      </w:r>
    </w:p>
    <w:p>
      <w:pPr>
        <w:spacing w:after="60"/>
        <w:ind w:left="576"/>
      </w:pPr>
      <w:r>
        <w:rPr>
          <w:b/>
        </w:rPr>
        <w:t xml:space="preserve">45. </w:t>
      </w:r>
      <w:r>
        <w:t xml:space="preserve">Tropsha, A. Best practices for QSAR model development, validation, and exploitation. Mol. Inf. 2010, 29 (6-7), 476–488. </w:t>
      </w:r>
      <w:r>
        <w:rPr>
          <w:i/>
          <w:color w:val="4A148C"/>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