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t>14 August 2026</w:t>
      </w:r>
    </w:p>
    <w:p>
      <w:pPr>
        <w:spacing w:after="200"/>
      </w:pPr>
      <w:r>
        <w:t>Editor-in-Chief</w:t>
      </w:r>
      <w:r>
        <w:br/>
      </w:r>
      <w:r>
        <w:t>Journal of Molecular Modeling</w:t>
      </w:r>
    </w:p>
    <w:p>
      <w:pPr>
        <w:spacing w:after="200"/>
      </w:pPr>
      <w:r>
        <w:t>Dear Editor,</w:t>
      </w:r>
    </w:p>
    <w:p>
      <w:pPr>
        <w:spacing w:after="200"/>
      </w:pPr>
      <w:r>
        <w:t>Please consider our Original Research manuscript, ?Alternate-conformer incompatibility as the dominant bottleneck in no-repair receptor preparation: a frozen compatibility audit of 30 public PDB structures,? for publication in the Journal of Molecular Modeling.</w:t>
      </w:r>
    </w:p>
    <w:p>
      <w:pPr>
        <w:spacing w:after="200"/>
      </w:pPr>
      <w:r>
        <w:t>The manuscript presents a frozen, auditable study of receptor preparation and reference-pose docking across 30 public RCSB Protein Data Bank protein?ligand complexes. Rather than treating failed preparation attempts as exclusions, it reports their causes, links the outcome to structural context, and carries each successfully prepared receptor through identity-mapped, RMSD-verified docking. We believe this evidence-focused molecular-modeling contribution will interest readers concerned with reproducibility, receptor preparation, and the interpretation of docking benchmarks.</w:t>
      </w:r>
    </w:p>
    <w:p>
      <w:pPr>
        <w:spacing w:after="200"/>
      </w:pPr>
      <w:r>
        <w:t>The complete versioned code, protocols, non-coordinate result tables, and reproducibility records are openly archived at Zenodo (DOI: 10.5281/zenodo.21928743).</w:t>
      </w:r>
    </w:p>
    <w:p>
      <w:pPr>
        <w:spacing w:after="200"/>
      </w:pPr>
      <w:r>
        <w:t>For editorial transparency, a related but distinct manuscript by the same authors is currently under consideration at this journal. That work addresses a separate DUD-E benchmark and protocol, whereas the present manuscript is a frozen audit of 30 public PDB reference structures. The present submission does not reuse the analyses, results, or conclusions of the related manuscript.</w:t>
      </w:r>
    </w:p>
    <w:p>
      <w:pPr>
        <w:spacing w:after="200"/>
      </w:pPr>
      <w:r>
        <w:t>This manuscript is original, is not under consideration elsewhere, and has been approved by all authors. The authors declare no competing interests.</w:t>
      </w:r>
    </w:p>
    <w:p>
      <w:pPr>
        <w:spacing w:after="200"/>
      </w:pPr>
      <w:r>
        <w:t>Thank you for your consideration.</w:t>
      </w:r>
    </w:p>
    <w:p>
      <w:pPr>
        <w:spacing w:after="200"/>
      </w:pPr>
      <w:r>
        <w:t>Sincerely,</w:t>
      </w:r>
      <w:r>
        <w:br/>
      </w:r>
      <w:r/>
      <w:r>
        <w:br/>
      </w:r>
      <w:r>
        <w:t>Andr?s Monreal Hern?ndez</w:t>
      </w:r>
      <w:r>
        <w:br/>
      </w:r>
      <w:r>
        <w:t>Corresponding author</w:t>
      </w:r>
      <w:r>
        <w:br/>
      </w:r>
      <w:r>
        <w:t>Universidad Estatal de Sonora</w:t>
      </w:r>
      <w:r>
        <w:br/>
      </w:r>
      <w:r>
        <w:t>Hermosillo, Sonora, Mexico</w:t>
      </w:r>
      <w:r>
        <w:br/>
      </w:r>
      <w:r>
        <w:t>andres.monreal@ues.mx</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