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thumbnail.jpeg"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A provenance-aware workflow for strict receptor-preparation audits and reference-pose recovery in molecular docking</w:t>
      </w:r>
    </w:p>
    <w:p>
      <w:r>
        <w:rPr>
          <w:rFonts w:ascii="Times New Roman" w:hAnsi="Times New Roman"/>
          <w:sz w:val="20"/>
        </w:rPr>
        <w:t>Andrés Monreal Hernández1*, Sara Lizbeth Franco Amaya2, and Carlos Ivanhoe Martínez Osorio3</w:t>
      </w:r>
    </w:p>
    <w:p>
      <w:r>
        <w:rPr>
          <w:rFonts w:ascii="Times New Roman" w:hAnsi="Times New Roman"/>
          <w:sz w:val="20"/>
        </w:rPr>
        <w:t xml:space="preserve">1 Universidad Estatal de Sonora, Hermosillo, Sonora, Mexico. ORCID: 0009-0009-1207-8597  </w:t>
      </w:r>
    </w:p>
    <w:p>
      <w:r>
        <w:rPr>
          <w:rFonts w:ascii="Times New Roman" w:hAnsi="Times New Roman"/>
          <w:sz w:val="20"/>
        </w:rPr>
        <w:t xml:space="preserve">2 Doctorado en Nanotecnología, Universidad de Sonora, Hermosillo, Sonora, Mexico. ORCID: 0009-0005-0272-0241  </w:t>
      </w:r>
    </w:p>
    <w:p>
      <w:r>
        <w:rPr>
          <w:rFonts w:ascii="Times New Roman" w:hAnsi="Times New Roman"/>
          <w:sz w:val="20"/>
        </w:rPr>
        <w:t xml:space="preserve">3 Doctorado en Ciencia de Materiales, Universidad de Sonora, Hermosillo, Sonora, Mexico. ORCID: 0009-0003-7872-4965  </w:t>
      </w:r>
    </w:p>
    <w:p>
      <w:r>
        <w:rPr>
          <w:rFonts w:ascii="Times New Roman" w:hAnsi="Times New Roman"/>
          <w:sz w:val="20"/>
        </w:rPr>
        <w:t>*Corresponding author: andres.monreal@ues.mx</w:t>
      </w:r>
    </w:p>
    <w:p>
      <w:pPr>
        <w:pStyle w:val="Heading1"/>
      </w:pPr>
      <w:r>
        <w:t>Abstract</w:t>
      </w:r>
    </w:p>
    <w:p>
      <w:r>
        <w:rPr>
          <w:rFonts w:ascii="Times New Roman" w:hAnsi="Times New Roman"/>
          <w:sz w:val="20"/>
        </w:rPr>
        <w:t>Context: Molecular-docking workflows can become difficult to evaluate when coordinate provenance, receptor-preparation choices, and pose-selection rules are not retained. This work presents a provenance-aware workflow for recording strict receptor-preparation outcomes and bounded reference-pose recovery. The workflow evaluated 102 DUD-E receptor entries. Direct preparation of the original DUD-E PDB representation failed for all 102 entries because blank element fields were recorded. In separate official RCSB conditions, strict preparation produced 26/102 successes from mmCIF and 27/102 successes from legacy PDB. The two RCSB conditions agreed for 101 target-level outcomes; the only difference was DPP4/2I78, a timeout in the frozen mmCIF audit that completed in subsequent executions. Reference-pose campaigns retained all nine Vina poses for BRAF 3D4Q/SM5 and KIF11 3CJO/K30. The top-score and lowest-RMSD values were reported separately.</w:t>
      </w:r>
    </w:p>
    <w:p>
      <w:r>
        <w:rPr>
          <w:rFonts w:ascii="Times New Roman" w:hAnsi="Times New Roman"/>
          <w:sz w:val="20"/>
        </w:rPr>
        <w:t>Methods: Python scripts recorded source URLs, checksums, command outcomes, and normalized error classes. Strict Meeko preparation was run without repair, alternate-location selection, template addition, or post-outcome exclusion. For the two reference cases, receptor/cofactor policies, ligand-component qualification, AutoDock Vina 1.2.7 configuration, and identity-mapped aligned heavy-atom RMSD were specified before execution. Deterministic SVG figures and CSV verification scripts support inspection of the versioned evidence.</w:t>
      </w:r>
    </w:p>
    <w:p>
      <w:r>
        <w:rPr>
          <w:rFonts w:ascii="Times New Roman" w:hAnsi="Times New Roman"/>
          <w:sz w:val="20"/>
        </w:rPr>
        <w:t>Keywords: molecular docking; receptor preparation; reproducibility; provenance; Meeko; AutoDock Vina.</w:t>
      </w:r>
    </w:p>
    <w:p>
      <w:pPr>
        <w:pStyle w:val="Heading1"/>
      </w:pPr>
      <w:r>
        <w:t>1 Introduction</w:t>
      </w:r>
    </w:p>
    <w:p>
      <w:r>
        <w:rPr>
          <w:rFonts w:ascii="Times New Roman" w:hAnsi="Times New Roman"/>
          <w:sz w:val="20"/>
        </w:rPr>
        <w:t>Molecular docking is frequently used to generate structural hypotheses in computer-aided molecular research. Its practical interpretation depends on coordinate provenance, treatment of the receptor and ligand, and the rules used to retain and compare poses [1-4]. Benchmark resources such as DUD-E and structural archives such as the RCSB Protein Data Bank make it possible to define source inputs explicitly [1,2]. However, a workflow can still be difficult to audit if it does not retain the preprocessing outcome and the reason for every failure.</w:t>
      </w:r>
    </w:p>
    <w:p>
      <w:r>
        <w:rPr>
          <w:rFonts w:ascii="Times New Roman" w:hAnsi="Times New Roman"/>
          <w:sz w:val="20"/>
        </w:rPr>
        <w:t>This study addresses a narrower question than prospective virtual screening: whether a declared direct receptor-preparation route can process a fixed set of source structures, and how its outcomes can be preserved for review. The work does not estimate affinity, biological activity, selectivity, safety, or therapeutic effect. Instead, it records a strict direct-preparation audit for 102 DUD-E targets, two official RCSB source-and-reader conditions, and two reference-pose recovery cases.</w:t>
      </w:r>
    </w:p>
    <w:p>
      <w:r>
        <w:rPr>
          <w:rFonts w:ascii="Times New Roman" w:hAnsi="Times New Roman"/>
          <w:sz w:val="20"/>
        </w:rPr>
        <w:t>The workflow was designed so that negative results remain available rather than being removed by undocumented repair. Retaining all output poses is also important because the lowest-energy pose and the pose with the lowest geometry-based RMSD need not be the same [12,13]. The objective was therefore to provide a reusable, evidence-bounded software workflow for source tracking, preparation compatibility, and reference-pose reporting.</w:t>
      </w:r>
    </w:p>
    <w:p>
      <w:pPr>
        <w:pStyle w:val="Heading1"/>
      </w:pPr>
      <w:r>
        <w:t>2 Materials and methods</w:t>
      </w:r>
    </w:p>
    <w:p>
      <w:pPr>
        <w:pStyle w:val="Heading2"/>
      </w:pPr>
      <w:r>
        <w:t>2.1 Target registry and coordinate provenance</w:t>
      </w:r>
    </w:p>
    <w:p>
      <w:r>
        <w:rPr>
          <w:rFonts w:ascii="Times New Roman" w:hAnsi="Times New Roman"/>
          <w:sz w:val="20"/>
        </w:rPr>
        <w:t>The frozen registry contains 102 DUD-E target/PDB identifier pairs. The first condition retrieved the original receptor.pdb file distributed by DUD-E for each target. A second condition used the corresponding official RCSB PDBx/mmCIF file. A predeclared comparator retrieved the official RCSB legacy-PDB file for the same 102 identifiers. For every available source, the workflow retained the source URL, byte count, and SHA-256 checksum in non-coordinate result tables. Raw coordinate files were retained locally for computation but were not redistributed in the repository.</w:t>
      </w:r>
    </w:p>
    <w:p>
      <w:pPr>
        <w:pStyle w:val="Heading2"/>
      </w:pPr>
      <w:r>
        <w:t>2.2 Strict preparation audit</w:t>
      </w:r>
    </w:p>
    <w:p>
      <w:r>
        <w:rPr>
          <w:rFonts w:ascii="Times New Roman" w:hAnsi="Times New Roman"/>
          <w:sz w:val="20"/>
        </w:rPr>
        <w:t>Each source was processed once by the declared Meeko pathway [7]. DUD-E and RCSB legacy-PDB files used the direct PDB reader; RCSB mmCIF files used the declared ProDy reader [6]. Gemmi supported structural processing in the workflow [5]. A direct success required return code zero and a nonempty PDBQT output. All other outcomes were retained as direct failures with a normalized error class. The protocol prohibited coordinate repair, element correction, alternate-location selection, residue deletion, manual template addition, and post-outcome exclusion. The RCSB legacy-PDB comparison was selected before execution and was evaluated as a distinct source-and-reader condition rather than as a universal reference standard.</w:t>
      </w:r>
    </w:p>
    <w:p>
      <w:pPr>
        <w:pStyle w:val="Heading2"/>
      </w:pPr>
      <w:r>
        <w:t>2.3 Reference-pose recovery cases</w:t>
      </w:r>
    </w:p>
    <w:p>
      <w:r>
        <w:rPr>
          <w:rFonts w:ascii="Times New Roman" w:hAnsi="Times New Roman"/>
          <w:sz w:val="20"/>
        </w:rPr>
        <w:t>Two cases from the RCSB mmCIF direct-success subset were evaluated: BRAF 3D4Q with ligand SM5 and KIF11 3CJO with ligand K30 [10,11]. Ligand component identity and a deposited ligand instance were qualified before ligand preparation. The BRAF receptor consisted of author chain A polymer. The KIF11 receptor retained author chain A polymer, deposited ADP, and Mg2+; K30 and waters were excluded. The automatic Meeko construction of an ADP template was retained as an explicit limitation.</w:t>
      </w:r>
    </w:p>
    <w:p>
      <w:r>
        <w:rPr>
          <w:rFonts w:ascii="Times New Roman" w:hAnsi="Times New Roman"/>
          <w:sz w:val="20"/>
        </w:rPr>
        <w:t>AutoDock Vina 1.2.7 was run with CPU 1, seed 20260809, exhaustiveness 16, num_modes 9, minimum RMSD 1.0 Å, and energy range 3.0 kcal/mol [3,4]. All nine poses from each case were retained. Pose recovery used an identity-mapped, aligned heavy-atom RMSD calculation. Top-score and lowest-RMSD poses were identified independently.</w:t>
      </w:r>
    </w:p>
    <w:p>
      <w:pPr>
        <w:pStyle w:val="Heading2"/>
      </w:pPr>
      <w:r>
        <w:t>2.4 Reproducibility controls and computational assistance</w:t>
      </w:r>
    </w:p>
    <w:p>
      <w:r>
        <w:rPr>
          <w:rFonts w:ascii="Times New Roman" w:hAnsi="Times New Roman"/>
          <w:sz w:val="20"/>
        </w:rPr>
        <w:t>The project uses versioned Python scripts, CSV tables, configuration files, and deterministic SVG renderers. The verification script checks denominators, outcome classes, pose-table consistency, and SHA-256 manifests. An independent direct DUD-E rerun was byte-identical to the frozen result table. Independent reference-pose campaigns were byte-identical to their frozen pose tables. The full mmCIF rerun agreed for 101/102 targets; DPP4/2I78 differed because a frozen 300-s timeout later completed successfully. Three predeclared follow-up attempts for 2I78 completed in 147.002-160.443 s and produced byte-identical PDBQT files. The non-coordinate derived tables, protocols, and verification scripts are supplied as Online Resource 1.</w:t>
      </w:r>
    </w:p>
    <w:p>
      <w:r>
        <w:rPr>
          <w:rFonts w:ascii="Times New Roman" w:hAnsi="Times New Roman"/>
          <w:sz w:val="20"/>
        </w:rPr>
        <w:t>OpenAI Codex (GPT-5) was used as computational assistance during software and document organization. The human authors reviewed the computational evidence, figures, references, and manuscript material and remain responsible for the methods, interpretation, and final submitted text.</w:t>
      </w:r>
    </w:p>
    <w:p>
      <w:pPr>
        <w:pStyle w:val="Heading1"/>
      </w:pPr>
      <w:r>
        <w:t>3 Results</w:t>
      </w:r>
    </w:p>
    <w:p>
      <w:pPr>
        <w:pStyle w:val="Heading2"/>
      </w:pPr>
      <w:r>
        <w:t>3.1 Strict preparation outcomes</w:t>
      </w:r>
    </w:p>
    <w:p>
      <w:r>
        <w:rPr>
          <w:rFonts w:ascii="Times New Roman" w:hAnsi="Times New Roman"/>
          <w:sz w:val="20"/>
        </w:rPr>
        <w:t>The original DUD-E PDB condition produced no nonempty PDBQT outputs: all 102 attempts failed, and the retained audit recorded blank PDB element fields in all observed coordinate records. The RCSB mmCIF condition produced 26 direct successes and 76 failures. The RCSB legacy-PDB condition produced 27 direct successes and 75 failures (Table 1; Fig. 1).</w:t>
      </w:r>
    </w:p>
    <w:p>
      <w:r>
        <w:br w:type="page"/>
      </w:r>
    </w:p>
    <w:p>
      <w:r>
        <w:rPr>
          <w:rFonts w:ascii="Times New Roman" w:hAnsi="Times New Roman"/>
          <w:b/>
          <w:sz w:val="20"/>
        </w:rPr>
        <w:t>Table 1 Strict direct receptor-preparation outcomes by source-and-reader condition</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Pr>
          <w:p>
            <w:r/>
            <w:r>
              <w:rPr>
                <w:rFonts w:ascii="Times New Roman" w:hAnsi="Times New Roman"/>
                <w:b/>
                <w:sz w:val="17"/>
              </w:rPr>
              <w:t>Condition</w:t>
            </w:r>
          </w:p>
        </w:tc>
        <w:tc>
          <w:tcPr>
            <w:tcW w:type="dxa" w:w="2340"/>
            <w:vAlign w:val="center"/>
          </w:tcPr>
          <w:p>
            <w:r/>
            <w:r>
              <w:rPr>
                <w:rFonts w:ascii="Times New Roman" w:hAnsi="Times New Roman"/>
                <w:b/>
                <w:sz w:val="17"/>
              </w:rPr>
              <w:t>Direct successes</w:t>
            </w:r>
          </w:p>
        </w:tc>
        <w:tc>
          <w:tcPr>
            <w:tcW w:type="dxa" w:w="2340"/>
            <w:vAlign w:val="center"/>
          </w:tcPr>
          <w:p>
            <w:r/>
            <w:r>
              <w:rPr>
                <w:rFonts w:ascii="Times New Roman" w:hAnsi="Times New Roman"/>
                <w:b/>
                <w:sz w:val="17"/>
              </w:rPr>
              <w:t>Direct failures</w:t>
            </w:r>
          </w:p>
        </w:tc>
        <w:tc>
          <w:tcPr>
            <w:tcW w:type="dxa" w:w="2340"/>
            <w:vAlign w:val="center"/>
          </w:tcPr>
          <w:p>
            <w:r/>
            <w:r>
              <w:rPr>
                <w:rFonts w:ascii="Times New Roman" w:hAnsi="Times New Roman"/>
                <w:b/>
                <w:sz w:val="17"/>
              </w:rPr>
              <w:t>Scope</w:t>
            </w:r>
          </w:p>
        </w:tc>
      </w:tr>
      <w:tr>
        <w:trPr>
          <w:cantSplit/>
        </w:trPr>
        <w:tc>
          <w:tcPr>
            <w:tcW w:type="dxa" w:w="2340"/>
            <w:vAlign w:val="center"/>
          </w:tcPr>
          <w:p>
            <w:r/>
            <w:r>
              <w:rPr>
                <w:rFonts w:ascii="Times New Roman" w:hAnsi="Times New Roman"/>
                <w:b w:val="0"/>
                <w:sz w:val="17"/>
              </w:rPr>
              <w:t>Original DUD-E PDB, direct reader</w:t>
            </w:r>
          </w:p>
        </w:tc>
        <w:tc>
          <w:tcPr>
            <w:tcW w:type="dxa" w:w="2340"/>
            <w:vAlign w:val="center"/>
          </w:tcPr>
          <w:p>
            <w:r/>
            <w:r>
              <w:rPr>
                <w:rFonts w:ascii="Times New Roman" w:hAnsi="Times New Roman"/>
                <w:b w:val="0"/>
                <w:sz w:val="17"/>
              </w:rPr>
              <w:t>0/102</w:t>
            </w:r>
          </w:p>
        </w:tc>
        <w:tc>
          <w:tcPr>
            <w:tcW w:type="dxa" w:w="2340"/>
            <w:vAlign w:val="center"/>
          </w:tcPr>
          <w:p>
            <w:r/>
            <w:r>
              <w:rPr>
                <w:rFonts w:ascii="Times New Roman" w:hAnsi="Times New Roman"/>
                <w:b w:val="0"/>
                <w:sz w:val="17"/>
              </w:rPr>
              <w:t>102/102</w:t>
            </w:r>
          </w:p>
        </w:tc>
        <w:tc>
          <w:tcPr>
            <w:tcW w:type="dxa" w:w="2340"/>
            <w:vAlign w:val="center"/>
          </w:tcPr>
          <w:p>
            <w:r/>
            <w:r>
              <w:rPr>
                <w:rFonts w:ascii="Times New Roman" w:hAnsi="Times New Roman"/>
                <w:b w:val="0"/>
                <w:sz w:val="17"/>
              </w:rPr>
              <w:t>Frozen original receptor representation</w:t>
            </w:r>
          </w:p>
        </w:tc>
      </w:tr>
      <w:tr>
        <w:trPr>
          <w:cantSplit/>
        </w:trPr>
        <w:tc>
          <w:tcPr>
            <w:tcW w:type="dxa" w:w="2340"/>
            <w:vAlign w:val="center"/>
          </w:tcPr>
          <w:p>
            <w:r/>
            <w:r>
              <w:rPr>
                <w:rFonts w:ascii="Times New Roman" w:hAnsi="Times New Roman"/>
                <w:b w:val="0"/>
                <w:sz w:val="17"/>
              </w:rPr>
              <w:t>Official RCSB mmCIF, ProDy reader</w:t>
            </w:r>
          </w:p>
        </w:tc>
        <w:tc>
          <w:tcPr>
            <w:tcW w:type="dxa" w:w="2340"/>
            <w:vAlign w:val="center"/>
          </w:tcPr>
          <w:p>
            <w:r/>
            <w:r>
              <w:rPr>
                <w:rFonts w:ascii="Times New Roman" w:hAnsi="Times New Roman"/>
                <w:b w:val="0"/>
                <w:sz w:val="17"/>
              </w:rPr>
              <w:t>26/102</w:t>
            </w:r>
          </w:p>
        </w:tc>
        <w:tc>
          <w:tcPr>
            <w:tcW w:type="dxa" w:w="2340"/>
            <w:vAlign w:val="center"/>
          </w:tcPr>
          <w:p>
            <w:r/>
            <w:r>
              <w:rPr>
                <w:rFonts w:ascii="Times New Roman" w:hAnsi="Times New Roman"/>
                <w:b w:val="0"/>
                <w:sz w:val="17"/>
              </w:rPr>
              <w:t>76/102</w:t>
            </w:r>
          </w:p>
        </w:tc>
        <w:tc>
          <w:tcPr>
            <w:tcW w:type="dxa" w:w="2340"/>
            <w:vAlign w:val="center"/>
          </w:tcPr>
          <w:p>
            <w:r/>
            <w:r>
              <w:rPr>
                <w:rFonts w:ascii="Times New Roman" w:hAnsi="Times New Roman"/>
                <w:b w:val="0"/>
                <w:sz w:val="17"/>
              </w:rPr>
              <w:t>Frozen source-alternative audit</w:t>
            </w:r>
          </w:p>
        </w:tc>
      </w:tr>
      <w:tr>
        <w:trPr>
          <w:cantSplit/>
        </w:trPr>
        <w:tc>
          <w:tcPr>
            <w:tcW w:type="dxa" w:w="2340"/>
            <w:vAlign w:val="center"/>
          </w:tcPr>
          <w:p>
            <w:r/>
            <w:r>
              <w:rPr>
                <w:rFonts w:ascii="Times New Roman" w:hAnsi="Times New Roman"/>
                <w:b w:val="0"/>
                <w:sz w:val="17"/>
              </w:rPr>
              <w:t>Official RCSB legacy PDB, direct reader</w:t>
            </w:r>
          </w:p>
        </w:tc>
        <w:tc>
          <w:tcPr>
            <w:tcW w:type="dxa" w:w="2340"/>
            <w:vAlign w:val="center"/>
          </w:tcPr>
          <w:p>
            <w:r/>
            <w:r>
              <w:rPr>
                <w:rFonts w:ascii="Times New Roman" w:hAnsi="Times New Roman"/>
                <w:b w:val="0"/>
                <w:sz w:val="17"/>
              </w:rPr>
              <w:t>27/102</w:t>
            </w:r>
          </w:p>
        </w:tc>
        <w:tc>
          <w:tcPr>
            <w:tcW w:type="dxa" w:w="2340"/>
            <w:vAlign w:val="center"/>
          </w:tcPr>
          <w:p>
            <w:r/>
            <w:r>
              <w:rPr>
                <w:rFonts w:ascii="Times New Roman" w:hAnsi="Times New Roman"/>
                <w:b w:val="0"/>
                <w:sz w:val="17"/>
              </w:rPr>
              <w:t>75/102</w:t>
            </w:r>
          </w:p>
        </w:tc>
        <w:tc>
          <w:tcPr>
            <w:tcW w:type="dxa" w:w="2340"/>
            <w:vAlign w:val="center"/>
          </w:tcPr>
          <w:p>
            <w:r/>
            <w:r>
              <w:rPr>
                <w:rFonts w:ascii="Times New Roman" w:hAnsi="Times New Roman"/>
                <w:b w:val="0"/>
                <w:sz w:val="17"/>
              </w:rPr>
              <w:t>Predeclared source-and-reader comparator</w:t>
            </w:r>
          </w:p>
        </w:tc>
      </w:tr>
    </w:tbl>
    <w:p/>
    <w:p>
      <w:r>
        <w:rPr>
          <w:rFonts w:ascii="Times New Roman" w:hAnsi="Times New Roman"/>
          <w:sz w:val="20"/>
        </w:rPr>
        <w:t>The RCSB mmCIF and legacy-PDB conditions agreed for 26 joint successes and 75 joint failures. For the jointly failed records, all normalized error classes agreed: 28 alternate-location cases, 29 residue-template mismatches, 15 other preparation failures, and three element errors. The single discordant outcome was DPP4/2I78, which was a timeout in the frozen mmCIF table and a success in the later legacy-PDB condition. This record is reported as execution-sensitive under the declared conditions, not as an error correction to the frozen release.</w:t>
      </w:r>
    </w:p>
    <w:p>
      <w:pPr>
        <w:pStyle w:val="Heading2"/>
      </w:pPr>
      <w:r>
        <w:t>3.2 Reference-pose recovery</w:t>
      </w:r>
    </w:p>
    <w:p>
      <w:r>
        <w:rPr>
          <w:rFonts w:ascii="Times New Roman" w:hAnsi="Times New Roman"/>
          <w:sz w:val="20"/>
        </w:rPr>
        <w:t>All nine generated poses were retained for each reference case (Table 2; Fig. 2). For BRAF 3D4Q/SM5, the top-score pose had a mapped heavy-atom RMSD of 1.134 Å and the lowest observed RMSD was 1.083 Å. For KIF11 3CJO/K30, the top-score pose had RMSD 1.477 Å and the lowest observed RMSD was 1.316 Å.</w:t>
      </w:r>
    </w:p>
    <w:p>
      <w:r>
        <w:rPr>
          <w:rFonts w:ascii="Times New Roman" w:hAnsi="Times New Roman"/>
          <w:sz w:val="20"/>
        </w:rPr>
        <w:t>Table 2 Retained reference-pose recovery outcomes under declared configurations</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rPr>
          <w:cantSplit/>
          <w:tblHeader w:val="true"/>
        </w:trPr>
        <w:tc>
          <w:tcPr>
            <w:tcW w:type="dxa" w:w="1560"/>
            <w:vAlign w:val="center"/>
          </w:tcPr>
          <w:p>
            <w:r/>
            <w:r>
              <w:rPr>
                <w:rFonts w:ascii="Times New Roman" w:hAnsi="Times New Roman"/>
                <w:b/>
                <w:sz w:val="17"/>
              </w:rPr>
              <w:t>Target and ligand</w:t>
            </w:r>
          </w:p>
        </w:tc>
        <w:tc>
          <w:tcPr>
            <w:tcW w:type="dxa" w:w="1560"/>
            <w:vAlign w:val="center"/>
          </w:tcPr>
          <w:p>
            <w:r/>
            <w:r>
              <w:rPr>
                <w:rFonts w:ascii="Times New Roman" w:hAnsi="Times New Roman"/>
                <w:b/>
                <w:sz w:val="17"/>
              </w:rPr>
              <w:t>Retained poses</w:t>
            </w:r>
          </w:p>
        </w:tc>
        <w:tc>
          <w:tcPr>
            <w:tcW w:type="dxa" w:w="1560"/>
            <w:vAlign w:val="center"/>
          </w:tcPr>
          <w:p>
            <w:r/>
            <w:r>
              <w:rPr>
                <w:rFonts w:ascii="Times New Roman" w:hAnsi="Times New Roman"/>
                <w:b/>
                <w:sz w:val="17"/>
              </w:rPr>
              <w:t>Top-score value (kcal/mol)</w:t>
            </w:r>
          </w:p>
        </w:tc>
        <w:tc>
          <w:tcPr>
            <w:tcW w:type="dxa" w:w="1560"/>
            <w:vAlign w:val="center"/>
          </w:tcPr>
          <w:p>
            <w:r/>
            <w:r>
              <w:rPr>
                <w:rFonts w:ascii="Times New Roman" w:hAnsi="Times New Roman"/>
                <w:b/>
                <w:sz w:val="17"/>
              </w:rPr>
              <w:t>RMSD of top-score pose (Å)</w:t>
            </w:r>
          </w:p>
        </w:tc>
        <w:tc>
          <w:tcPr>
            <w:tcW w:type="dxa" w:w="1560"/>
            <w:vAlign w:val="center"/>
          </w:tcPr>
          <w:p>
            <w:r/>
            <w:r>
              <w:rPr>
                <w:rFonts w:ascii="Times New Roman" w:hAnsi="Times New Roman"/>
                <w:b/>
                <w:sz w:val="17"/>
              </w:rPr>
              <w:t>Lowest RMSD (Å)</w:t>
            </w:r>
          </w:p>
        </w:tc>
        <w:tc>
          <w:tcPr>
            <w:tcW w:type="dxa" w:w="1560"/>
            <w:vAlign w:val="center"/>
          </w:tcPr>
          <w:p>
            <w:r/>
            <w:r>
              <w:rPr>
                <w:rFonts w:ascii="Times New Roman" w:hAnsi="Times New Roman"/>
                <w:b/>
                <w:sz w:val="17"/>
              </w:rPr>
              <w:t>Declared limitation</w:t>
            </w:r>
          </w:p>
        </w:tc>
      </w:tr>
      <w:tr>
        <w:trPr>
          <w:cantSplit/>
        </w:trPr>
        <w:tc>
          <w:tcPr>
            <w:tcW w:type="dxa" w:w="1560"/>
            <w:vAlign w:val="center"/>
          </w:tcPr>
          <w:p>
            <w:r/>
            <w:r>
              <w:rPr>
                <w:rFonts w:ascii="Times New Roman" w:hAnsi="Times New Roman"/>
                <w:b w:val="0"/>
                <w:sz w:val="17"/>
              </w:rPr>
              <w:t>BRAF 3D4Q / SM5</w:t>
            </w:r>
          </w:p>
        </w:tc>
        <w:tc>
          <w:tcPr>
            <w:tcW w:type="dxa" w:w="1560"/>
            <w:vAlign w:val="center"/>
          </w:tcPr>
          <w:p>
            <w:r/>
            <w:r>
              <w:rPr>
                <w:rFonts w:ascii="Times New Roman" w:hAnsi="Times New Roman"/>
                <w:b w:val="0"/>
                <w:sz w:val="17"/>
              </w:rPr>
              <w:t>9</w:t>
            </w:r>
          </w:p>
        </w:tc>
        <w:tc>
          <w:tcPr>
            <w:tcW w:type="dxa" w:w="1560"/>
            <w:vAlign w:val="center"/>
          </w:tcPr>
          <w:p>
            <w:r/>
            <w:r>
              <w:rPr>
                <w:rFonts w:ascii="Times New Roman" w:hAnsi="Times New Roman"/>
                <w:b w:val="0"/>
                <w:sz w:val="17"/>
              </w:rPr>
              <w:t>-10.929</w:t>
            </w:r>
          </w:p>
        </w:tc>
        <w:tc>
          <w:tcPr>
            <w:tcW w:type="dxa" w:w="1560"/>
            <w:vAlign w:val="center"/>
          </w:tcPr>
          <w:p>
            <w:r/>
            <w:r>
              <w:rPr>
                <w:rFonts w:ascii="Times New Roman" w:hAnsi="Times New Roman"/>
                <w:b w:val="0"/>
                <w:sz w:val="17"/>
              </w:rPr>
              <w:t>1.134</w:t>
            </w:r>
          </w:p>
        </w:tc>
        <w:tc>
          <w:tcPr>
            <w:tcW w:type="dxa" w:w="1560"/>
            <w:vAlign w:val="center"/>
          </w:tcPr>
          <w:p>
            <w:r/>
            <w:r>
              <w:rPr>
                <w:rFonts w:ascii="Times New Roman" w:hAnsi="Times New Roman"/>
                <w:b w:val="0"/>
                <w:sz w:val="17"/>
              </w:rPr>
              <w:t>1.083</w:t>
            </w:r>
          </w:p>
        </w:tc>
        <w:tc>
          <w:tcPr>
            <w:tcW w:type="dxa" w:w="1560"/>
            <w:vAlign w:val="center"/>
          </w:tcPr>
          <w:p>
            <w:r/>
            <w:r>
              <w:rPr>
                <w:rFonts w:ascii="Times New Roman" w:hAnsi="Times New Roman"/>
                <w:b w:val="0"/>
                <w:sz w:val="17"/>
              </w:rPr>
              <w:t>No post hoc RMSD threshold was introduced</w:t>
            </w:r>
          </w:p>
        </w:tc>
      </w:tr>
      <w:tr>
        <w:trPr>
          <w:cantSplit/>
        </w:trPr>
        <w:tc>
          <w:tcPr>
            <w:tcW w:type="dxa" w:w="1560"/>
            <w:vAlign w:val="center"/>
          </w:tcPr>
          <w:p>
            <w:r/>
            <w:r>
              <w:rPr>
                <w:rFonts w:ascii="Times New Roman" w:hAnsi="Times New Roman"/>
                <w:b w:val="0"/>
                <w:sz w:val="17"/>
              </w:rPr>
              <w:t>KIF11 3CJO / K30</w:t>
            </w:r>
          </w:p>
        </w:tc>
        <w:tc>
          <w:tcPr>
            <w:tcW w:type="dxa" w:w="1560"/>
            <w:vAlign w:val="center"/>
          </w:tcPr>
          <w:p>
            <w:r/>
            <w:r>
              <w:rPr>
                <w:rFonts w:ascii="Times New Roman" w:hAnsi="Times New Roman"/>
                <w:b w:val="0"/>
                <w:sz w:val="17"/>
              </w:rPr>
              <w:t>9</w:t>
            </w:r>
          </w:p>
        </w:tc>
        <w:tc>
          <w:tcPr>
            <w:tcW w:type="dxa" w:w="1560"/>
            <w:vAlign w:val="center"/>
          </w:tcPr>
          <w:p>
            <w:r/>
            <w:r>
              <w:rPr>
                <w:rFonts w:ascii="Times New Roman" w:hAnsi="Times New Roman"/>
                <w:b w:val="0"/>
                <w:sz w:val="17"/>
              </w:rPr>
              <w:t>-10.994</w:t>
            </w:r>
          </w:p>
        </w:tc>
        <w:tc>
          <w:tcPr>
            <w:tcW w:type="dxa" w:w="1560"/>
            <w:vAlign w:val="center"/>
          </w:tcPr>
          <w:p>
            <w:r/>
            <w:r>
              <w:rPr>
                <w:rFonts w:ascii="Times New Roman" w:hAnsi="Times New Roman"/>
                <w:b w:val="0"/>
                <w:sz w:val="17"/>
              </w:rPr>
              <w:t>1.477</w:t>
            </w:r>
          </w:p>
        </w:tc>
        <w:tc>
          <w:tcPr>
            <w:tcW w:type="dxa" w:w="1560"/>
            <w:vAlign w:val="center"/>
          </w:tcPr>
          <w:p>
            <w:r/>
            <w:r>
              <w:rPr>
                <w:rFonts w:ascii="Times New Roman" w:hAnsi="Times New Roman"/>
                <w:b w:val="0"/>
                <w:sz w:val="17"/>
              </w:rPr>
              <w:t>1.316</w:t>
            </w:r>
          </w:p>
        </w:tc>
        <w:tc>
          <w:tcPr>
            <w:tcW w:type="dxa" w:w="1560"/>
            <w:vAlign w:val="center"/>
          </w:tcPr>
          <w:p>
            <w:r/>
            <w:r>
              <w:rPr>
                <w:rFonts w:ascii="Times New Roman" w:hAnsi="Times New Roman"/>
                <w:b w:val="0"/>
                <w:sz w:val="17"/>
              </w:rPr>
              <w:t>ADP template was automatically constructed by Meeko</w:t>
            </w:r>
          </w:p>
        </w:tc>
      </w:tr>
    </w:tbl>
    <w:p/>
    <w:p>
      <w:pPr>
        <w:pStyle w:val="Heading2"/>
      </w:pPr>
      <w:r>
        <w:t>3.3 Evidence boundary</w:t>
      </w:r>
    </w:p>
    <w:p>
      <w:r>
        <w:rPr>
          <w:rFonts w:ascii="Times New Roman" w:hAnsi="Times New Roman"/>
          <w:sz w:val="20"/>
        </w:rPr>
        <w:t>The audit and reference-pose outcomes are computational observations for the specified sources, versions, and settings. They provide no estimate of binding affinity or of biological, pharmacological, toxicological, or clinical effects. The BRAF and KIF11 cases are deposited-structure examples, not evidence of cancer-related efficacy.</w:t>
      </w:r>
    </w:p>
    <w:p>
      <w:pPr>
        <w:pStyle w:val="Heading1"/>
      </w:pPr>
      <w:r>
        <w:t>4 Discussion</w:t>
      </w:r>
    </w:p>
    <w:p>
      <w:r>
        <w:rPr>
          <w:rFonts w:ascii="Times New Roman" w:hAnsi="Times New Roman"/>
          <w:sz w:val="20"/>
        </w:rPr>
        <w:t>The results show why source identity and preparation behavior should be reported before interpreting downstream docking calculations. The original DUD-E representation could not be processed by the declared direct route because its element fields were blank. In contrast, the two official RCSB conditions produced 26 and 27 direct successes. Their 101/102 target-level agreement, including all normalized error classes among shared failures, indicates that the observed compatibility pattern persisted across these two specified source-and-reader conditions. It does not demonstrate that the file formats are generally interchangeable, because the source representation and reader both differed.</w:t>
      </w:r>
    </w:p>
    <w:p>
      <w:r>
        <w:rPr>
          <w:rFonts w:ascii="Times New Roman" w:hAnsi="Times New Roman"/>
          <w:sz w:val="20"/>
        </w:rPr>
        <w:t>The DPP4/2I78 result illustrates a separate reproducibility boundary. A 300-s timeout belongs to the frozen release record, while the subsequent full rerun and three focused repetitions completed. Reporting both results avoids silently replacing a versioned negative observation with a later positive one. This practice is consistent with retaining complete computational provenance and treating divergence as a result to investigate rather than material to remove [8,9].</w:t>
      </w:r>
    </w:p>
    <w:p>
      <w:r>
        <w:rPr>
          <w:rFonts w:ascii="Times New Roman" w:hAnsi="Times New Roman"/>
          <w:sz w:val="20"/>
        </w:rPr>
        <w:t>The BRAF and KIF11 campaigns demonstrate how a deposited reference ligand, explicit receptor policy, fixed docking configuration, and all-pose retention can be documented in a compact workflow. The distinction between top-score and lowest-RMSD values is deliberate: score ranking alone should not be presented as a geometric validation result [12,13]. The two cases are insufficient to benchmark docking broadly, but they provide inspectable reference-pose records that can be extended through separately predeclared campaigns.</w:t>
      </w:r>
    </w:p>
    <w:p>
      <w:pPr>
        <w:pStyle w:val="Heading1"/>
      </w:pPr>
      <w:r>
        <w:t>5 Conclusions</w:t>
      </w:r>
    </w:p>
    <w:p>
      <w:r>
        <w:rPr>
          <w:rFonts w:ascii="Times New Roman" w:hAnsi="Times New Roman"/>
          <w:sz w:val="20"/>
        </w:rPr>
        <w:t>This software workflow preserves strict receptor-preparation outcomes, provenance records, failure classes, and bounded reference-pose recovery results. The versioned evidence identifies a direct-compatibility limitation in the original DUD-E receptor files, documents two RCSB source-and-reader conditions, and retains all poses for two reference cases. Its appropriate use is reproducibility-oriented workflow auditing; it must not be used to infer biological or therapeutic effects.</w:t>
      </w:r>
    </w:p>
    <w:p>
      <w:pPr>
        <w:pStyle w:val="Heading1"/>
      </w:pPr>
      <w:r>
        <w:t>Figure captions</w:t>
      </w:r>
    </w:p>
    <w:p>
      <w:r>
        <w:rPr>
          <w:rFonts w:ascii="Times New Roman" w:hAnsi="Times New Roman"/>
          <w:sz w:val="20"/>
        </w:rPr>
        <w:t>Fig. 1 Strict receptor-preparation outcomes across original DUD-E PDB, official RCSB mmCIF, and official RCSB legacy-PDB conditions. Bars show direct successes out of 102 entries. The RCSB conditions agreed for 101 target-level outcomes; DPP4/2I78 differed by a frozen timeout versus a later success</w:t>
      </w:r>
    </w:p>
    <w:p>
      <w:pPr>
        <w:spacing w:after="0"/>
        <w:jc w:val="center"/>
      </w:pPr>
      <w:r>
        <w:drawing>
          <wp:inline xmlns:a="http://schemas.openxmlformats.org/drawingml/2006/main" xmlns:pic="http://schemas.openxmlformats.org/drawingml/2006/picture">
            <wp:extent cx="5943600" cy="2161984"/>
            <wp:docPr id="1" name="Picture 1"/>
            <wp:cNvGraphicFramePr>
              <a:graphicFrameLocks noChangeAspect="1"/>
            </wp:cNvGraphicFramePr>
            <a:graphic>
              <a:graphicData uri="http://schemas.openxmlformats.org/drawingml/2006/picture">
                <pic:pic>
                  <pic:nvPicPr>
                    <pic:cNvPr id="0" name="Fig1-embedded.png"/>
                    <pic:cNvPicPr/>
                  </pic:nvPicPr>
                  <pic:blipFill>
                    <a:blip r:embed="rId10"/>
                    <a:stretch>
                      <a:fillRect/>
                    </a:stretch>
                  </pic:blipFill>
                  <pic:spPr>
                    <a:xfrm>
                      <a:off x="0" y="0"/>
                      <a:ext cx="5943600" cy="2161984"/>
                    </a:xfrm>
                    <a:prstGeom prst="rect"/>
                  </pic:spPr>
                </pic:pic>
              </a:graphicData>
            </a:graphic>
          </wp:inline>
        </w:drawing>
      </w:r>
    </w:p>
    <w:p>
      <w:r>
        <w:rPr>
          <w:rFonts w:ascii="Times New Roman" w:hAnsi="Times New Roman"/>
          <w:sz w:val="20"/>
        </w:rPr>
        <w:t>Fig. 2 Reference-pose recovery panel for BRAF 3D4Q/SM5 and KIF11 3CJO/K30. All nine Vina poses per case were retained. Top-score and lowest-RMSD poses are reported under separate rules</w:t>
      </w:r>
    </w:p>
    <w:p>
      <w:pPr>
        <w:spacing w:after="0"/>
        <w:jc w:val="center"/>
      </w:pPr>
      <w:r>
        <w:drawing>
          <wp:inline xmlns:a="http://schemas.openxmlformats.org/drawingml/2006/main" xmlns:pic="http://schemas.openxmlformats.org/drawingml/2006/picture">
            <wp:extent cx="5943600" cy="2216468"/>
            <wp:docPr id="2" name="Picture 2"/>
            <wp:cNvGraphicFramePr>
              <a:graphicFrameLocks noChangeAspect="1"/>
            </wp:cNvGraphicFramePr>
            <a:graphic>
              <a:graphicData uri="http://schemas.openxmlformats.org/drawingml/2006/picture">
                <pic:pic>
                  <pic:nvPicPr>
                    <pic:cNvPr id="0" name="Fig2-embedded.png"/>
                    <pic:cNvPicPr/>
                  </pic:nvPicPr>
                  <pic:blipFill>
                    <a:blip r:embed="rId11"/>
                    <a:stretch>
                      <a:fillRect/>
                    </a:stretch>
                  </pic:blipFill>
                  <pic:spPr>
                    <a:xfrm>
                      <a:off x="0" y="0"/>
                      <a:ext cx="5943600" cy="2216468"/>
                    </a:xfrm>
                    <a:prstGeom prst="rect"/>
                  </pic:spPr>
                </pic:pic>
              </a:graphicData>
            </a:graphic>
          </wp:inline>
        </w:drawing>
      </w:r>
    </w:p>
    <w:p>
      <w:pPr>
        <w:pStyle w:val="Heading1"/>
      </w:pPr>
      <w:r>
        <w:t>References</w:t>
      </w:r>
    </w:p>
    <w:p>
      <w:r>
        <w:rPr>
          <w:rFonts w:ascii="Times New Roman" w:hAnsi="Times New Roman"/>
          <w:sz w:val="20"/>
        </w:rPr>
        <w:t>1. Mysinger MM, Carchia M, Irwin JJ, Shoichet BK (2012) Directory of Useful Decoys, Enhanced (DUD-E): Better Ligands and Decoys for Better Benchmarking. J Med Chem 55:6582-6594. https://doi.org/10.1021/jm300687e</w:t>
      </w:r>
    </w:p>
    <w:p>
      <w:r>
        <w:rPr>
          <w:rFonts w:ascii="Times New Roman" w:hAnsi="Times New Roman"/>
          <w:sz w:val="20"/>
        </w:rPr>
        <w:t>2. Burley SK, Bhikadiya C, Bi C, Bittrich S, Chao H, Chen L, Craig PA, Crichlow GV, Dalenberg K, Duarte JM, Dutta S, Fayazi M, Feng Z, Flatt JW, Ganesan S, Ghosh S, Goodsell DS, Green RK, Guranovic V, Henry J, Hudson BP, Khokhriakov I, Lawson CL, Liang Y, Lowe R, Peisach E, Persikova I, Piehl DW, Rose Y, Sali A, Segura J, Sekharan M, Shao C, Vallat B, Voigt M, Webb B, Westbrook JD, Whetstone S, Young JY, Zalevsky A, Zardecki C (2023) RCSB Protein Data Bank (RCSB.org): delivery of experimentally-determined PDB structures alongside one million computed structure models of proteins from artificial intelligence/machine learning. Nucleic Acids Res 51:D488-D508. https://doi.org/10.1093/nar/gkac1077</w:t>
      </w:r>
    </w:p>
    <w:p>
      <w:r>
        <w:rPr>
          <w:rFonts w:ascii="Times New Roman" w:hAnsi="Times New Roman"/>
          <w:sz w:val="20"/>
        </w:rPr>
        <w:t>3. Trott O, Olson AJ (2010) AutoDock Vina: improving the speed and accuracy of docking with a new scoring function, efficient optimization, and multithreading. J Comput Chem 31:455-461. https://doi.org/10.1002/jcc.21334</w:t>
      </w:r>
    </w:p>
    <w:p>
      <w:r>
        <w:rPr>
          <w:rFonts w:ascii="Times New Roman" w:hAnsi="Times New Roman"/>
          <w:sz w:val="20"/>
        </w:rPr>
        <w:t>4. Eberhardt J, Santos-Martins D, Tillack AF, Forli S (2021) AutoDock Vina 1.2.0: New Docking Methods, Expanded Force Field, and Python Bindings. J Chem Inf Model 61:3891-3898. https://doi.org/10.1021/acs.jcim.1c00203</w:t>
      </w:r>
    </w:p>
    <w:p>
      <w:r>
        <w:rPr>
          <w:rFonts w:ascii="Times New Roman" w:hAnsi="Times New Roman"/>
          <w:sz w:val="20"/>
        </w:rPr>
        <w:t>5. Wojdyr M (2022) GEMMI: A library for structural biology. J Open Source Softw 7:4200. https://doi.org/10.21105/joss.04200</w:t>
      </w:r>
    </w:p>
    <w:p>
      <w:r>
        <w:rPr>
          <w:rFonts w:ascii="Times New Roman" w:hAnsi="Times New Roman"/>
          <w:sz w:val="20"/>
        </w:rPr>
        <w:t>6. Zhang S, Krieger JM, Zhang Y, Kaya C, Kaynak B, Mikulska-Ruminska K, Doruker P, Li H, Bahar I (2021) ProDy 2.0: increased scale and scope after 10 years of protein dynamics modelling with Python. Bioinformatics 37:3657-3659. https://doi.org/10.1093/bioinformatics/btab187</w:t>
      </w:r>
    </w:p>
    <w:p>
      <w:r>
        <w:rPr>
          <w:rFonts w:ascii="Times New Roman" w:hAnsi="Times New Roman"/>
          <w:sz w:val="20"/>
        </w:rPr>
        <w:t>7. Forli Lab (2025) Meeko 0.7.1. Python Package Index. https://pypi.org/project/meeko/0.7.1/</w:t>
      </w:r>
    </w:p>
    <w:p>
      <w:r>
        <w:rPr>
          <w:rFonts w:ascii="Times New Roman" w:hAnsi="Times New Roman"/>
          <w:sz w:val="20"/>
        </w:rPr>
        <w:t>8. Wilkinson MD, Dumontier M, Aalbersberg IJ, Appleton G, Axton M, Baak A, Blomberg N, Boiten J-W, da Silva Santos LB, Bourne PE, Bouwman J, Brookes AJ, Clark T, Crosas M, Dillo I, Dumon O, Edmunds S, Evelo CT, Finkers R, Gonzalez-Beltran A, Gray AJG, Groth P, Goble C, Grethe JS, Heringa J, 't Hoen PAC, Hooft R, Kuhn T, Kok R, Kok J, Lusher SJ, Martone ME, Mons A, Packer AL, Persson B, Rocca-Serra P, Roos M, van Schaik R, Sansone S-A, Schultes E, Sengstag T, Slater T, Strawn G, Swertz MA, Thompson M, van der Lei J, van Mulligen E, Velterop J, Waagmeester A, Wittenburg P, Wolstencroft K, Zhao J, Mons B (2016) The FAIR Guiding Principles for scientific data management and stewardship. Sci Data 3:160018. https://doi.org/10.1038/sdata.2016.18</w:t>
      </w:r>
    </w:p>
    <w:p>
      <w:r>
        <w:rPr>
          <w:rFonts w:ascii="Times New Roman" w:hAnsi="Times New Roman"/>
          <w:sz w:val="20"/>
        </w:rPr>
        <w:t>9. Sandve GK, Nekrutenko A, Taylor J, Hovig E (2013) Ten Simple Rules for Reproducible Computational Research. PLoS Comput Biol 9:e1003285. https://doi.org/10.1371/journal.pcbi.1003285</w:t>
      </w:r>
    </w:p>
    <w:p>
      <w:r>
        <w:rPr>
          <w:rFonts w:ascii="Times New Roman" w:hAnsi="Times New Roman"/>
          <w:sz w:val="20"/>
        </w:rPr>
        <w:t>10. Hansen JD, Grina J, Newhouse B, Welch M, Topalov G, Littman N, Callejo M, Gloor S, Martinson M, Laird E, Brandhuber BJ, Vigers G, Morales T, Woessner R, Randolph N, Lyssikatos J, Olivero A (2008) Potent and selective pyrazole-based inhibitors of B-Raf kinase. Bioorg Med Chem Lett 18:4692-4695. https://doi.org/10.1016/j.bmcl.2008.07.002</w:t>
      </w:r>
    </w:p>
    <w:p>
      <w:r>
        <w:rPr>
          <w:rFonts w:ascii="Times New Roman" w:hAnsi="Times New Roman"/>
          <w:sz w:val="20"/>
        </w:rPr>
        <w:t>11. Cox CD, Coleman PJ, Breslin MJ, Whitman DB, Garbaccio RM, Fraley ME, Buser CA, Walsh ES, Hamilton K, Schaber MD, Lobell RB, Tao W, Davide JP, Diehl RE, Abrams MT, South VJ, Huber HE, Torrent M, Prueksaritanont T, Li C, Slaughter DE, Mahan E, Fernandez-Metzler C, Yan Y, Kuo LC, Kohl NE, Hartman GD (2008) Kinesin spindle protein (KSP) inhibitors. 9. Discovery of MK-0731 for the treatment of taxane-refractory cancer. J Med Chem 51:4239-4252. https://doi.org/10.1021/jm800386y</w:t>
      </w:r>
    </w:p>
    <w:p>
      <w:r>
        <w:rPr>
          <w:rFonts w:ascii="Times New Roman" w:hAnsi="Times New Roman"/>
          <w:sz w:val="20"/>
        </w:rPr>
        <w:t>12. Mukherjee S, Balius TE, Rizzo RC (2010) Docking validation resources: protein family and ligand flexibility experiments. J Chem Inf Model 50:1986-2000. https://doi.org/10.1021/ci1001982</w:t>
      </w:r>
    </w:p>
    <w:p>
      <w:r>
        <w:rPr>
          <w:rFonts w:ascii="Times New Roman" w:hAnsi="Times New Roman"/>
          <w:sz w:val="20"/>
        </w:rPr>
        <w:t>13. Ramírez D, Caballero J (2018) Is It Reliable to Take the Molecular Docking Top Scoring Position as the Best Solution without Considering Available Structural Data? Molecules 23:1038. https://doi.org/10.3390/molecules23051038</w:t>
      </w:r>
    </w:p>
    <w:p>
      <w:r>
        <w:rPr>
          <w:rFonts w:ascii="Times New Roman" w:hAnsi="Times New Roman"/>
          <w:sz w:val="20"/>
        </w:rPr>
        <w:t>14. Allen WJ, Rizzo RC (2014) Implementation of the Hungarian algorithm to account for ligand symmetry and similarity in structure-based design. J Chem Inf Model 54:518-529. https://doi.org/10.1021/ci400534h</w:t>
      </w:r>
    </w:p>
    <w:p>
      <w:r>
        <w:rPr>
          <w:rFonts w:ascii="Times New Roman" w:hAnsi="Times New Roman"/>
          <w:sz w:val="20"/>
        </w:rPr>
        <w:t>15. Stanzione F, Giangreco I, Cole JC (2021) Use of molecular docking computational tools in drug discovery. Prog Med Chem 60:273-343. https://doi.org/10.1016/bs.pmch.2021.01.004</w:t>
      </w:r>
    </w:p>
    <w:p>
      <w:pPr>
        <w:pStyle w:val="Heading1"/>
      </w:pPr>
      <w:r>
        <w:t>Statements and declarations</w:t>
      </w:r>
    </w:p>
    <w:p>
      <w:pPr>
        <w:pStyle w:val="Heading2"/>
      </w:pPr>
      <w:r>
        <w:t>Funding</w:t>
      </w:r>
    </w:p>
    <w:p>
      <w:r>
        <w:rPr>
          <w:rFonts w:ascii="Times New Roman" w:hAnsi="Times New Roman"/>
          <w:sz w:val="20"/>
        </w:rPr>
        <w:t>The authors declare that no funds, grants, or other support were received during the preparation of this manuscript. The work used available local computing resources.</w:t>
      </w:r>
    </w:p>
    <w:p>
      <w:pPr>
        <w:pStyle w:val="Heading2"/>
      </w:pPr>
      <w:r>
        <w:t>Competing interests</w:t>
      </w:r>
    </w:p>
    <w:p>
      <w:r>
        <w:rPr>
          <w:rFonts w:ascii="Times New Roman" w:hAnsi="Times New Roman"/>
          <w:sz w:val="20"/>
        </w:rPr>
        <w:t>The authors have no relevant financial or non-financial interests to disclose.</w:t>
      </w:r>
    </w:p>
    <w:p>
      <w:pPr>
        <w:pStyle w:val="Heading2"/>
      </w:pPr>
      <w:r>
        <w:t>Author contributions</w:t>
      </w:r>
    </w:p>
    <w:p>
      <w:r>
        <w:rPr>
          <w:rFonts w:ascii="Times New Roman" w:hAnsi="Times New Roman"/>
          <w:sz w:val="20"/>
        </w:rPr>
        <w:t>Sara Lizbeth Franco Amaya: Conceptualization; Writing - review and editing. Carlos Ivanhoe Martínez Osorio: Methodology. Andrés Monreal Hernández: Data curation; Formal analysis; Investigation; Software; Visualization; Writing - original draft. All authors reviewed the evidence, contributed to manuscript review, and must approve the final submitted version.</w:t>
      </w:r>
    </w:p>
    <w:p>
      <w:pPr>
        <w:pStyle w:val="Heading2"/>
      </w:pPr>
      <w:r>
        <w:t>Data availability</w:t>
      </w:r>
    </w:p>
    <w:p>
      <w:r>
        <w:rPr>
          <w:rFonts w:ascii="Times New Roman" w:hAnsi="Times New Roman"/>
          <w:sz w:val="20"/>
        </w:rPr>
        <w:t>Versioned code, derived non-coordinate result tables, protocols, validation artefacts, and deterministic figures are available from the public project repository. Supporting non-coordinate derived tables, protocols, and verification scripts are supplied as Online Resource 1. The frozen v0.2.0 evidence archive is available at https://doi.org/10.5281/zenodo.21866318. Original coordinates and local PDBQT/log files are not redistributed; source identifiers, URLs, and checksums are provided to support retrieval and verification.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media/image1.png" Type="http://schemas.openxmlformats.org/officeDocument/2006/relationships/image"/><Relationship Id="rId11" Target="media/image2.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9"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description>generated by python-docx</dc:description>
  <dcterms:modified xsi:type="dcterms:W3CDTF">2013-12-23T23:15:00Z</dcterms:modified>
  <cp:revision>1</cp:revision>
  <dc:title>A provenance-aware workflow for strict receptor-preparation audits and reference-pose recovery in molecular docking</dc:title>
</cp:coreProperties>
</file>