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4D40"/>
          <w:sz w:val="28"/>
        </w:rPr>
        <w:t>SUPPORTING INFORMATION</w:t>
        <w:br/>
        <w:t>Atomistic Modeling and QSPR-Guided Screening of 2D Graphitic Carbon Nitride Nanocarriers for KRAS-G12D Inhibitor Loading and Target Engagement</w:t>
      </w:r>
    </w:p>
    <w:p>
      <w:r>
        <w:rPr>
          <w:i/>
        </w:rPr>
        <w:t>Andrés Monreal Hernández, Sara Lizbeth Franco Amaya, and Carlos Ivanhoe Martínez Osorio</w:t>
      </w:r>
    </w:p>
    <w:p>
      <w:pPr>
        <w:pStyle w:val="Heading1"/>
        <w:spacing w:before="240" w:after="80"/>
      </w:pPr>
      <w:r>
        <w:rPr>
          <w:rFonts w:ascii="Times New Roman" w:hAnsi="Times New Roman"/>
          <w:b/>
          <w:color w:val="004D40"/>
          <w:sz w:val="24"/>
        </w:rPr>
        <w:t>Section S1: 2D Graphitic Carbon Nitride (g-C3N4) Molecular Cluster</w:t>
      </w:r>
    </w:p>
    <w:p>
      <w:r>
        <w:t>The g-C3N4 nanocarrier is modeled as a finite planar cluster of 48 atoms, stoichiometry C21N21H6: three condensed tri-s-triazine (heptazine, C6N7) cores joined by three tertiary-amine nitrogen bridges, with the six peripheral terminal nitrogens H-passivated to keep a closed-shell singlet (Q = 0, M = 1). The B/P co-doped variant replaces one core carbon by boron and one bridging nitrogen by phosphorus (C20B1N20P1H6). All geometries were relaxed with GFN2-xTB; Mulliken partial charges on the dopants are q_B = +0.349 e and q_P = -0.168 e (results/quantum/nanocarrier_qm_results.csv).</w:t>
      </w:r>
    </w:p>
    <w:p>
      <w:pPr>
        <w:pStyle w:val="Heading1"/>
        <w:spacing w:before="240" w:after="80"/>
      </w:pPr>
      <w:r>
        <w:rPr>
          <w:rFonts w:ascii="Times New Roman" w:hAnsi="Times New Roman"/>
          <w:b/>
          <w:color w:val="004D40"/>
          <w:sz w:val="24"/>
        </w:rPr>
        <w:t>Section S2: Software</w:t>
      </w:r>
    </w:p>
    <w:p>
      <w:r>
        <w:t>• AutoDock Vina v1.2.7 — molecular docking</w:t>
        <w:br/>
        <w:t>• GFN2-xTB (xtb v6.7.1, Grimme group) — geometry optimization and single-point energies for every isolated drug, carrier and drug–carrier complex</w:t>
        <w:br/>
        <w:t>• RDKit v2024.03.1 &amp; Meeko v0.5.0 — descriptors, protonation, PDBQT preparation</w:t>
        <w:br/>
        <w:t>• scikit-learn v1.4.2 &amp; SciPy v1.13.0 — surrogate QSPR model and statistics</w:t>
        <w:br/>
        <w:t>• Code: https://github.com/sircalch/kras-pancreatic-gc3n4-ai</w:t>
        <w:br/>
        <w:t>• Data archive: https://doi.org/10.5281/zenodo.22187819</w:t>
      </w:r>
    </w:p>
    <w:p>
      <w:pPr>
        <w:pStyle w:val="Heading1"/>
        <w:spacing w:before="240" w:after="80"/>
      </w:pPr>
      <w:r>
        <w:rPr>
          <w:rFonts w:ascii="Times New Roman" w:hAnsi="Times New Roman"/>
          <w:b/>
          <w:color w:val="004D40"/>
          <w:sz w:val="24"/>
        </w:rPr>
        <w:t>Table S1: Curated Oncology Cohort (N=33) — Real Docking Scores, Ligand Efficiency, Quantum Descriptors and GFN2-xTB Single-Point Interaction Energies.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4"/>
        <w:gridCol w:w="1104"/>
        <w:gridCol w:w="1104"/>
        <w:gridCol w:w="1104"/>
        <w:gridCol w:w="1104"/>
        <w:gridCol w:w="1104"/>
        <w:gridCol w:w="1104"/>
        <w:gridCol w:w="1104"/>
        <w:gridCol w:w="1104"/>
      </w:tblGrid>
      <w:tr>
        <w:tc>
          <w:tcPr>
            <w:tcW w:type="dxa" w:w="1104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104"/>
            <w:shd w:fill="004D40"/>
          </w:tcPr>
          <w:p>
            <w:r>
              <w:rPr>
                <w:b/>
                <w:color w:val="FFFFFF"/>
                <w:sz w:val="15"/>
              </w:rPr>
              <w:t>Group</w:t>
            </w:r>
          </w:p>
        </w:tc>
        <w:tc>
          <w:tcPr>
            <w:tcW w:type="dxa" w:w="1104"/>
            <w:shd w:fill="004D40"/>
          </w:tcPr>
          <w:p>
            <w:r>
              <w:rPr>
                <w:b/>
                <w:color w:val="FFFFFF"/>
                <w:sz w:val="15"/>
              </w:rPr>
              <w:t>MW</w:t>
            </w:r>
          </w:p>
        </w:tc>
        <w:tc>
          <w:tcPr>
            <w:tcW w:type="dxa" w:w="1104"/>
            <w:shd w:fill="004D40"/>
          </w:tcPr>
          <w:p>
            <w:r>
              <w:rPr>
                <w:b/>
                <w:color w:val="FFFFFF"/>
                <w:sz w:val="15"/>
              </w:rPr>
              <w:t>Vina (kcal/mol)</w:t>
            </w:r>
          </w:p>
        </w:tc>
        <w:tc>
          <w:tcPr>
            <w:tcW w:type="dxa" w:w="1104"/>
            <w:shd w:fill="004D40"/>
          </w:tcPr>
          <w:p>
            <w:r>
              <w:rPr>
                <w:b/>
                <w:color w:val="FFFFFF"/>
                <w:sz w:val="15"/>
              </w:rPr>
              <w:t>LE (kcal/mol/atom)</w:t>
            </w:r>
          </w:p>
        </w:tc>
        <w:tc>
          <w:tcPr>
            <w:tcW w:type="dxa" w:w="1104"/>
            <w:shd w:fill="004D40"/>
          </w:tcPr>
          <w:p>
            <w:r>
              <w:rPr>
                <w:b/>
                <w:color w:val="FFFFFF"/>
                <w:sz w:val="15"/>
              </w:rPr>
              <w:t>E_HOMO (eV)</w:t>
            </w:r>
          </w:p>
        </w:tc>
        <w:tc>
          <w:tcPr>
            <w:tcW w:type="dxa" w:w="1104"/>
            <w:shd w:fill="004D40"/>
          </w:tcPr>
          <w:p>
            <w:r>
              <w:rPr>
                <w:b/>
                <w:color w:val="FFFFFF"/>
                <w:sz w:val="15"/>
              </w:rPr>
              <w:t>omega (eV)</w:t>
            </w:r>
          </w:p>
        </w:tc>
        <w:tc>
          <w:tcPr>
            <w:tcW w:type="dxa" w:w="1104"/>
            <w:shd w:fill="004D40"/>
          </w:tcPr>
          <w:p>
            <w:r>
              <w:rPr>
                <w:b/>
                <w:color w:val="FFFFFF"/>
                <w:sz w:val="15"/>
              </w:rPr>
              <w:t>dE_ads pristine (kcal/mol)</w:t>
            </w:r>
          </w:p>
        </w:tc>
        <w:tc>
          <w:tcPr>
            <w:tcW w:type="dxa" w:w="1104"/>
            <w:shd w:fill="004D40"/>
          </w:tcPr>
          <w:p>
            <w:r>
              <w:rPr>
                <w:b/>
                <w:color w:val="FFFFFF"/>
                <w:sz w:val="15"/>
              </w:rPr>
              <w:t>dE_ads B/P (kcal/mol)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600.6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-8.06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0.183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-9.62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71.01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-35.03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-35.04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BI-2865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465.6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-8.46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0.256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-9.40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52.14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-21.25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-21.58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RMC-6236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811.1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-3.38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0.058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-9.69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29.47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-29.51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-29.58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HRS-4642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632.7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-7.58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0.165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-9.93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41.02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-21.63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-21.87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JDQ-443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526.0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-7.68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0.202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-9.87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27.39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-19.83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-20.04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Sotorasib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560.6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-5.86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0.143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-10.21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63.19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-21.02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-21.14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Adagrasib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604.1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-6.90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0.161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-9.60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44.61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-26.67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-27.34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BI-2852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516.6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-8.78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0.225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-9.70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22.81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-11.94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-12.23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MRTX1719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464.9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-5.86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0.178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-10.56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39.15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-21.06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-22.92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RMC-7977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865.1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-4.69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0.076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-9.64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26.43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-30.77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-30.83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615.4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-5.50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0.149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-10.37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34.00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-18.40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-18.74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531.3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-9.12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0.304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-10.28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31.18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-13.47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-14.17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457.7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-7.83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0.290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-10.09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36.59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-10.53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-10.90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Binimetinib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441.2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-6.79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0.252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-10.15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35.23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-9.42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-10.00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393.4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-7.54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0.260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-9.82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36.04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-17.76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-18.26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Larotrectinib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428.4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-8.59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0.277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-9.34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33.92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-12.29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-12.69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506.6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-9.75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0.264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-9.21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54.64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-18.00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-17.96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447.5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-7.81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0.237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-9.54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47.27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-20.30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-20.42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263.2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-6.93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0.385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-10.88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27.38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-12.23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-13.12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130.1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-5.07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0.563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-11.77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26.66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-4.98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-6.96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Capecitabine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359.4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-7.88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0.315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-11.25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33.08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-11.14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-11.39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Irinotecan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586.7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-7.53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0.175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-9.51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63.10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-18.70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-19.50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Paclitaxel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853.9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-4.90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0.079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-10.66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34.16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-30.28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-30.96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Methotrexate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454.4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-8.12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0.246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-9.72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102.18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-39.17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-39.89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Etoposide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588.6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-6.71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0.160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-9.84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20.12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-16.58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-16.67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543.5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-5.87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0.150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-10.54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60.19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-17.08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-17.22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Topotecan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421.4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-6.84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0.221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-10.45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38.95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-16.10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-16.46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Dacarbazine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182.2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-5.51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0.424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-8.98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41.20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-23.14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-24.05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Hydroxyurea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76.0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-2.86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0.572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-10.92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14.00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-7.51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-9.63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Mitomycin C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334.3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-7.45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0.311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-10.31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64.32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-23.44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-24.04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Leucovorin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473.4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-7.57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0.223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-9.90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26.45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-20.81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-20.75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Pemetrexed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427.4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-7.77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0.251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-9.74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29.55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-17.80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-18.97</w:t>
            </w:r>
          </w:p>
        </w:tc>
      </w:tr>
      <w:tr>
        <w:tc>
          <w:tcPr>
            <w:tcW w:type="dxa" w:w="1104"/>
          </w:tcPr>
          <w:p>
            <w:r>
              <w:rPr>
                <w:sz w:val="14"/>
              </w:rPr>
              <w:t>Trabectedin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761.9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-3.05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0.057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-9.52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26.08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-32.47</w:t>
            </w:r>
          </w:p>
        </w:tc>
        <w:tc>
          <w:tcPr>
            <w:tcW w:type="dxa" w:w="1104"/>
          </w:tcPr>
          <w:p>
            <w:r>
              <w:rPr>
                <w:sz w:val="14"/>
              </w:rPr>
              <w:t>-33.01</w:t>
            </w:r>
          </w:p>
        </w:tc>
      </w:tr>
    </w:tbl>
    <w:p>
      <w:pPr>
        <w:pStyle w:val="Heading1"/>
        <w:spacing w:before="240" w:after="80"/>
      </w:pPr>
      <w:r>
        <w:rPr>
          <w:rFonts w:ascii="Times New Roman" w:hAnsi="Times New Roman"/>
          <w:b/>
          <w:color w:val="004D40"/>
          <w:sz w:val="24"/>
        </w:rPr>
        <w:t>Table S2: Dominant Microstate Formal Charge at pH 7.4 (RDKit, from the canonical SMILES). No external pKa engine was run.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Group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Formal charge (pH 7.4)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BI-2865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RMC-6236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HRS-4642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JDQ-443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Sotorasib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Adagrasib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BI-2852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MRTX1719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RMC-7977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Binimetinib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Larotrectinib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Capecitabine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Irinotecan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Paclitaxel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Methotrexate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Etoposide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Topotecan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Dacarbazine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Hydroxyurea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Mitomycin C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Leucovorin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Pemetrexed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Trabectedin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</w:tbl>
    <w:p>
      <w:pPr>
        <w:pStyle w:val="Heading1"/>
        <w:spacing w:before="240" w:after="80"/>
      </w:pPr>
      <w:r>
        <w:rPr>
          <w:rFonts w:ascii="Times New Roman" w:hAnsi="Times New Roman"/>
          <w:b/>
          <w:color w:val="004D40"/>
          <w:sz w:val="24"/>
        </w:rPr>
        <w:t>Table S3: OECD Principles 1–5 Checklist.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Implementation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1. Defined endpoint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GFN2-xTB single-point interaction energy Delta_E_ads (kcal/mol) of each drug on the pristine / B-P-doped g-C3N4 cluster.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2. Unambiguous algorithm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StandardScaler + RidgeCV inside a leak-free nested 5x5 cross-validation (src/ml_models/train_real_qspr_model.py).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3. Applicability domain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Williams hat-matrix leverage, 5 descriptors, n=33: warning leverage h* = 0.545; 33/33 compounds inside the domain (h &lt;= h* and |std. residual| &lt;= 3).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4. Goodness-of-fit / robustness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Leak-free nested 5x5 CV Q2_CV = +0.584; 1000 Y-scrambling permutations, p = 0.001.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5. Mechanistic interpretation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Ridge coefficients / feature importance dominated by polarizability, electrophilicity (omega), molecular size (MW) and polar surface area.</w:t>
            </w:r>
          </w:p>
        </w:tc>
      </w:tr>
    </w:tbl>
    <w:p>
      <w:pPr>
        <w:pStyle w:val="Heading1"/>
        <w:spacing w:before="240" w:after="80"/>
      </w:pPr>
      <w:r>
        <w:rPr>
          <w:rFonts w:ascii="Times New Roman" w:hAnsi="Times New Roman"/>
          <w:b/>
          <w:color w:val="004D40"/>
          <w:sz w:val="24"/>
        </w:rPr>
        <w:t>Table S4: Multi-Start Orientation Scan — Real GFN2-xTB Component Energies (results/quantum/multistart_adsorption_results.csv).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004D40"/>
          </w:tcPr>
          <w:p>
            <w:r>
              <w:rPr>
                <w:b/>
                <w:color w:val="FFFFFF"/>
                <w:sz w:val="15"/>
              </w:rPr>
              <w:t>Drug</w:t>
            </w:r>
          </w:p>
        </w:tc>
        <w:tc>
          <w:tcPr>
            <w:tcW w:type="dxa" w:w="1656"/>
            <w:shd w:fill="004D40"/>
          </w:tcPr>
          <w:p>
            <w:r>
              <w:rPr>
                <w:b/>
                <w:color w:val="FFFFFF"/>
                <w:sz w:val="15"/>
              </w:rPr>
              <w:t>Orientation</w:t>
            </w:r>
          </w:p>
        </w:tc>
        <w:tc>
          <w:tcPr>
            <w:tcW w:type="dxa" w:w="1656"/>
            <w:shd w:fill="004D40"/>
          </w:tcPr>
          <w:p>
            <w:r>
              <w:rPr>
                <w:b/>
                <w:color w:val="FFFFFF"/>
                <w:sz w:val="15"/>
              </w:rPr>
              <w:t>E_complex (Eh)</w:t>
            </w:r>
          </w:p>
        </w:tc>
        <w:tc>
          <w:tcPr>
            <w:tcW w:type="dxa" w:w="1656"/>
            <w:shd w:fill="004D40"/>
          </w:tcPr>
          <w:p>
            <w:r>
              <w:rPr>
                <w:b/>
                <w:color w:val="FFFFFF"/>
                <w:sz w:val="15"/>
              </w:rPr>
              <w:t>E_carrier (Eh)</w:t>
            </w:r>
          </w:p>
        </w:tc>
        <w:tc>
          <w:tcPr>
            <w:tcW w:type="dxa" w:w="1656"/>
            <w:shd w:fill="004D40"/>
          </w:tcPr>
          <w:p>
            <w:r>
              <w:rPr>
                <w:b/>
                <w:color w:val="FFFFFF"/>
                <w:sz w:val="15"/>
              </w:rPr>
              <w:t>E_drug (Eh)</w:t>
            </w:r>
          </w:p>
        </w:tc>
        <w:tc>
          <w:tcPr>
            <w:tcW w:type="dxa" w:w="1656"/>
            <w:shd w:fill="004D40"/>
          </w:tcPr>
          <w:p>
            <w:r>
              <w:rPr>
                <w:b/>
                <w:color w:val="FFFFFF"/>
                <w:sz w:val="15"/>
              </w:rPr>
              <w:t>E_ads (kcal/mol)</w:t>
            </w:r>
          </w:p>
        </w:tc>
      </w:tr>
      <w:tr>
        <w:tc>
          <w:tcPr>
            <w:tcW w:type="dxa" w:w="1656"/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0 deg Parallel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-136.600840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-28.830591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-3.07</w:t>
            </w:r>
          </w:p>
        </w:tc>
      </w:tr>
      <w:tr>
        <w:tc>
          <w:tcPr>
            <w:tcW w:type="dxa" w:w="1656"/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+90 deg In-Plane Rotated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-136.614861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-28.830591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-11.87</w:t>
            </w:r>
          </w:p>
        </w:tc>
      </w:tr>
      <w:tr>
        <w:tc>
          <w:tcPr>
            <w:tcW w:type="dxa" w:w="1656"/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180 deg Inverted Flip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-136.608224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-28.830591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-7.71</w:t>
            </w:r>
          </w:p>
        </w:tc>
      </w:tr>
      <w:tr>
        <w:tc>
          <w:tcPr>
            <w:tcW w:type="dxa" w:w="1656"/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0 deg Parallel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-167.189596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-59.419515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-2.97</w:t>
            </w:r>
          </w:p>
        </w:tc>
      </w:tr>
      <w:tr>
        <w:tc>
          <w:tcPr>
            <w:tcW w:type="dxa" w:w="1656"/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+90 deg In-Plane Rotated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-167.183439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-59.419515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0.90</w:t>
            </w:r>
          </w:p>
        </w:tc>
      </w:tr>
      <w:tr>
        <w:tc>
          <w:tcPr>
            <w:tcW w:type="dxa" w:w="1656"/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180 deg Inverted Flip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-167.199756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-59.419515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-9.34</w:t>
            </w:r>
          </w:p>
        </w:tc>
      </w:tr>
      <w:tr>
        <w:tc>
          <w:tcPr>
            <w:tcW w:type="dxa" w:w="1656"/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0 deg Parallel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-234.173301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-126.407348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-0.38</w:t>
            </w:r>
          </w:p>
        </w:tc>
      </w:tr>
      <w:tr>
        <w:tc>
          <w:tcPr>
            <w:tcW w:type="dxa" w:w="1656"/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+90 deg In-Plane Rotated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-234.174179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-126.407348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-0.93</w:t>
            </w:r>
          </w:p>
        </w:tc>
      </w:tr>
      <w:tr>
        <w:tc>
          <w:tcPr>
            <w:tcW w:type="dxa" w:w="1656"/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180 deg Inverted Flip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-234.180646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-126.407348</w:t>
            </w:r>
          </w:p>
        </w:tc>
        <w:tc>
          <w:tcPr>
            <w:tcW w:type="dxa" w:w="1656"/>
          </w:tcPr>
          <w:p>
            <w:r>
              <w:rPr>
                <w:sz w:val="14"/>
              </w:rPr>
              <w:t>-4.99</w:t>
            </w:r>
          </w:p>
        </w:tc>
      </w:tr>
    </w:tbl>
    <w:p>
      <w:pPr>
        <w:pStyle w:val="Heading1"/>
        <w:spacing w:before="240" w:after="80"/>
      </w:pPr>
      <w:r>
        <w:rPr>
          <w:rFonts w:ascii="Times New Roman" w:hAnsi="Times New Roman"/>
          <w:b/>
          <w:color w:val="004D40"/>
          <w:sz w:val="24"/>
        </w:rPr>
        <w:t>Table S5: Residue-Level Contact Frequencies on KRAS-G12D (real AutoDock Vina poses, contact distance &lt;= 3.8 Å; results/docking/residue_frequency_ranking.csv).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Switch II residue</w:t>
            </w:r>
          </w:p>
        </w:tc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Contact frequency (of N=33 poses)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TYR96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ASP12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GLU62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26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ARG68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23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GLY60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GLN99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TYR64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MET72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ASP92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THR58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16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HIS95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16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ALA59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VAL9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13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ILE100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GLU63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