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+0.19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rPr>
          <w:b/>
        </w:rPr>
        <w:t xml:space="preserve">Context </w:t>
      </w:r>
      <w:r>
        <w:t>Oncogenic KRAS-G12D is a challenging pancreatic ductal adenocarcinoma (PDAC) target: MRTX1133 engages the Switch II allosteric pocket with high potency but has unfavorable pharmacokinetic properties, motivating exploration of two-dimensional graphitic carbon nitride (g-C3N4) as a supramolecular delivery template. We evaluate the molecular interaction space of 33 curated KRAS-G12D therapeutics across pristine and B/P co-doped g-C3N4 templates, benchmark a docking protocol via crystallographic pose-recovery (1.419 Å heavy-atom RMSD against the 1.30 Å human KRAS-G12D structure, PDB 7RPZ), and train a leak-free nested cross-validated QSPR surrogate. The surrogate achieves genuinely predictive out-of-fold accuracy (nested Q²_CV = 0.584; 1,000-permutation Y-scrambling p = 0.001) and prioritizes clinical-stage oncology leads (Futibatinib, Belumosudil) from a 350-compound DrugBank screen, subsequently confirmed by prospective quantum calculations.</w:t>
      </w:r>
    </w:p>
    <w:p>
      <w:r>
        <w:rPr>
          <w:b/>
        </w:rPr>
        <w:t xml:space="preserve">Methods </w:t>
      </w:r>
      <w:r>
        <w:t>GFN2-xTB tight-binding quantum calculations were performed on a finite 48-atom C21N21H6 heptazine cluster model (pristine and B/P co-doped, C20B1N20P1H6) to obtain standardized vertical electronic interaction and intramolecular deformation energies at a fixed initial stacking separation (z = 3.35 Å). AutoDock Vina docking against the KRAS-G12D Switch II pocket (PDB 7RPZ) was validated by redocking the native MRTX1133 pose. A Ridge-regression QSPR surrogate, structured under OECD Principles 1-5, was fit inside a nested 5×5 cross-validation (StandardScaler and Ridge-alpha tuning confined to outer-training folds only) and validated by 1,000-permutation Y-scrambling. Applicability-domain screening (leverage h* = 0.455) of 350 DrugBank oncology compounds was followed by prospective GFN2-xTB single-point quantum confirmation of the top-ranked leads.</w:t>
      </w:r>
    </w:p>
    <w:p>
      <w:pPr>
        <w:spacing w:after="240"/>
      </w:pPr>
      <w:r>
        <w:rPr>
          <w:b/>
        </w:rPr>
        <w:t xml:space="preserve">Keywords: </w:t>
      </w:r>
      <w:r/>
      <w:r>
        <w:t>KRAS-G12D; MRTX1133; Graphitic Carbon Nitride; QSPR Surrogate Modeling; GFN2-xTB Quantum Chemistry;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8202"/>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8202"/>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693904"/>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693904"/>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943525"/>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943525"/>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894952"/>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894952"/>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+0.19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Summary</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+0.19 e for MRTX1133)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(latest release)</w:t>
        <w:br/>
        <w:t>• Permanent Archival DOI: Zenodo Repository DOI: 10.5281/zenodo.22187819 (concept DOI, always resolves to the latest archived version)</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