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b/>
          <w:color w:val="00695C"/>
          <w:sz w:val="32"/>
        </w:rPr>
        <w:t>Quantum-Informed and Machine Learning QSAR Investigation of Graphitic Carbon Nitride (g-C3N4) Nanocarriers Delivering Allosteric Inhibitors Targeting Oncogenic KRAS-G12D in Pancreatic Ductal Adenocarcinoma</w:t>
      </w:r>
    </w:p>
    <w:p>
      <w:pPr>
        <w:spacing w:after="80"/>
      </w:pPr>
      <w:r>
        <w:rPr>
          <w:b/>
        </w:rPr>
        <w:t>Andrés Monreal Hernández</w:t>
      </w:r>
      <w:r>
        <w:t xml:space="preserve">1,*, </w:t>
      </w:r>
      <w:r>
        <w:rPr>
          <w:b/>
        </w:rPr>
        <w:t>Sara Lizbeth Franco Amaya</w:t>
      </w:r>
      <w:r>
        <w:t xml:space="preserve">2, and </w:t>
      </w:r>
      <w:r>
        <w:rPr>
          <w:b/>
        </w:rPr>
        <w:t>Carlos Ivanhoe Martínez Osorio</w:t>
      </w:r>
      <w:r>
        <w:t>3</w:t>
      </w:r>
    </w:p>
    <w:p>
      <w:pPr>
        <w:spacing w:after="280"/>
      </w:pPr>
      <w:r>
        <w:rPr>
          <w:i/>
          <w:sz w:val="19"/>
        </w:rPr>
        <w:t>1 Universidad Estatal de Sonora, Hermosillo, Sonora, Mexico. ORCID: 0009-0009-1207-8597</w:t>
        <w:br/>
        <w:t>2 Doctorado en Nanotecnología, Universidad de Sonora, Hermosillo, Sonora, Mexico. ORCID: 0009-0005-0272-0241</w:t>
        <w:br/>
        <w:t>3 Doctorado en Ciencia de Materiales, Universidad de Sonora, Hermosillo, Sonora, Mexico. ORCID: 0009-0003-7872-4965</w:t>
        <w:br/>
        <w:t>* Corresponding author: andres.monreal@ues.mx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77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7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Graphical Abstract: </w:t>
      </w:r>
      <w:r>
        <w:rPr>
          <w:i/>
          <w:sz w:val="19"/>
        </w:rPr>
        <w:t xml:space="preserve"> Multi-Scale Quantum, Docking, and Machine Learning Evaluation of 2D g-C3N4 Nanosheets for Targeted KRAS-G12D Delivery in Pancreatic Ductal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Abstract</w:t>
      </w:r>
    </w:p>
    <w:p>
      <w:pPr>
        <w:spacing w:after="160" w:line="276" w:lineRule="auto"/>
      </w:pPr>
      <w:r>
        <w:t>Pancreatic Ductal Adenocarcinoma (PDAC) remains an intractable gastrointestinal malignancy characterized by dense desmoplastic stroma and universal harboring of oncogenic KRAS driver mutations, predominantly KRAS-G12D (&gt;45%). Here, we present a multi-scale quantum chemical (DFTB3-D4), physical molecular docking (AutoDock Vina v1.2.7 against PDB ID: 7RPZ, 1.45 Å), and Explainable Machine Learning QSAR framework investigating 2D graphitic carbon nitride (g-C3N4) and heteroatom-doped (B/P-g-C3N4) nanocarriers delivering 33 direct KRAS-G12D allosteric inhibitors (e.g., MRTX1133) and PDAC therapeutics. Quantum adsorption modeling revealed favorable, non-covalent chemisorption (Delta_E_ads = -18.5 to -65.2 kcal/mol) on tri-s-triazine polymeric frameworks. Physical docking against the crystal structure of human oncogenic KRAS-G12D demonstrated robust macromolecular stabilization (-5.09 to -9.94 kcal/mol) and critical contact engagements with the Switch II allosteric pocket (Asp12, Gly13, Gln61, Glu62, Tyr96). Machine Learning models (ExtraTrees and XGBoost) yielded modest, non-overfit predictive accuracy on the real GFN2-xTB adsorption energies via leak-free nested 5x5 cross-validation (Q2_CV = 0.552 pristine, 0.513 B/P-doped; n=33, p=4), corroborated by exploratory feature-importance rankings and OECD Principle 3 Williams leverage validation (31/33 compounds within the applicability domain). This study establishes a foundational computational framework for 2D polymeric nanocarriers overcoming stroma-mediated resistance in KRAS-driven pancreatic oncology.</w:t>
      </w:r>
    </w:p>
    <w:p>
      <w:pPr>
        <w:spacing w:after="280"/>
      </w:pPr>
      <w:r>
        <w:rPr>
          <w:b/>
        </w:rPr>
        <w:t xml:space="preserve">Keywords: </w:t>
      </w:r>
      <w:r>
        <w:t>Graphitic Carbon Nitride (g-C3N4); KRAS-G12D; MRTX1133; Pancreatic Ductal Adenocarcinoma; AutoDock Vina; Explainable AI (SHAP); OECD Validation.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1. Introduction</w:t>
      </w:r>
    </w:p>
    <w:p>
      <w:r>
        <w:t>Pancreatic Ductal Adenocarcinoma (PDAC) is projected to become the second leading cause of cancer-related mortality by 2030. Over 90% of PDAC tumors harbor activating mutations in the KRAS oncogene, with KRAS-G12D accounting for the highest frequency. Despite recent breakthroughs in direct small-molecule allosteric inhibitors such as MRTX1133, effective clinical delivery is severely crippled by the dense fibrotic stroma and hypovascular microenvironment characteristic of pancreatic lesions.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91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ras_workflow_method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1: </w:t>
      </w:r>
      <w:r>
        <w:rPr>
          <w:i/>
          <w:sz w:val="19"/>
        </w:rPr>
        <w:t xml:space="preserve"> Multi-Scale Computational Workflow: Integrating Quantum Chemical CDFT, Real AutoDock Vina Docking (PDB 7RPZ), and Explainable Machine Learning for 2D g-C3N4 Pancreatic Oncology.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2. Computational and Experimental Section</w:t>
      </w:r>
    </w:p>
    <w:p>
      <w:r>
        <w:t>2.1 Quantum Chemical Tight-Binding Modeling: Quantum adsorption of therapeutics on g-C3N4 and B/P-doped supercells was performed with DFTB3-D4. Frontier orbital energies and Conceptual DFT reactivity indices were rigorously extracted.</w:t>
      </w:r>
    </w:p>
    <w:p>
      <w:r>
        <w:t>2.2 Physical Molecular Docking on KRAS-G12D Crystal: Docking was performed using AutoDock Vina v1.2.7 on the high-resolution crystal structure of human KRAS-G12D (PDB ID: 7RPZ, 1.45 Å) centered on the Switch II allosteric pocket.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61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kras_quantum_cdf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2: </w:t>
      </w:r>
      <w:r>
        <w:rPr>
          <w:i/>
          <w:sz w:val="19"/>
        </w:rPr>
        <w:t xml:space="preserve"> Quantum CDFT Architecture &amp; Electronic Reactivity for 2D g-C3N4 Systems: (a) HOMO/LUMO frontier orbital alignment; (b) Chemical hardness and electrophilicity index.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3. Results and Discussion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477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kras_docking_vina_statistical_profi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7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3: </w:t>
      </w:r>
      <w:r>
        <w:rPr>
          <w:i/>
          <w:sz w:val="19"/>
        </w:rPr>
        <w:t xml:space="preserve"> Physical Molecular Docking Statistical Profiles on Human KRAS-G12D Crystal: (a) Binding energy distributions; (b) Ranking of top 10 high-affinity KRAS-G12D inhibitors (highlighting MRTX1133 at -9.16 kcal/mol and BI-2865 at -9.94 kcal/mol).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52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ras_residue_contact_frequ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4: </w:t>
      </w:r>
      <w:r>
        <w:rPr>
          <w:i/>
          <w:sz w:val="19"/>
        </w:rPr>
        <w:t xml:space="preserve"> Residue-Level Interaction Fingerprints on KRAS-G12D: Contact frequency analysis demonstrating dominant interactions with oncogenic Asp12, Tyr96, Glu62, and Arg68.</w:t>
      </w:r>
    </w:p>
    <w:p/>
    <w:p>
      <w:r>
        <w:rPr>
          <w:b/>
          <w:sz w:val="20"/>
        </w:rPr>
        <w:t>Table 1: Physicochemical, Topological, and Quantum CDFT Descriptors for Representative KRAS/PDAC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Compound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MW (g/mol)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LogP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PSA (Å²)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E_HOMO (eV)</w:t>
            </w:r>
          </w:p>
        </w:tc>
        <w:tc>
          <w:tcPr>
            <w:tcW w:type="dxa" w:w="1337"/>
            <w:shd w:fill="00695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omega (eV)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MRTX1133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KRAS-G12D Allos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600.6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86.6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-6.43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3.50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BI-2865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Pan-KRAS / G12D Inacti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465.6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3.55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127.0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-6.37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2.82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RMC-6236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RAS-MULTI (ON) Multi-S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811.1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5.61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134.2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-6.56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2.97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HRS-4642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Direct KRAS-G12D Selec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632.7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5.05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95.9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-6.48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3.39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JDQ-443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Switch II Pocket Allos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526.0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5.60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84.6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-6.44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3.78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Sotorasib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560.6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4.48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104.5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-6.39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3.28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Adagrasib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KRAS-G12C Covalent Inh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604.1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88.8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-6.55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3.26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BI-2852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Switch I/II Pan-KRAS I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516.6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4.73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99.9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3.82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MRTX1719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PRMT5-MTA Synthetic Le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464.9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3.65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122.6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-6.27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3.05</w:t>
            </w:r>
          </w:p>
        </w:tc>
      </w:tr>
      <w:tr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RMC-7977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RAS-MULTI (ON) Tri-Com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865.1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5.38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143.4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-6.53</w:t>
            </w:r>
          </w:p>
        </w:tc>
        <w:tc>
          <w:tcPr>
            <w:tcW w:type="dxa" w:w="133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2.87</w:t>
            </w:r>
          </w:p>
        </w:tc>
      </w:tr>
    </w:tbl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565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ras_parity_models_evalu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6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5: </w:t>
      </w:r>
      <w:r>
        <w:rPr>
          <w:i/>
          <w:sz w:val="19"/>
        </w:rPr>
        <w:t xml:space="preserve"> Parity Plots (Predicted vs Observed Delta_G) for Machine Learning Nano-QSAR Models on g-C3N4 Systems.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639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ras_shap_xai_importance_rank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3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6: </w:t>
      </w:r>
      <w:r>
        <w:rPr>
          <w:i/>
          <w:sz w:val="19"/>
        </w:rPr>
        <w:t xml:space="preserve"> Explainable AI (SHAP) Feature Importance Rankings for 2D g-C3N4 Nanocarrier Delivery.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9961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ras_descriptor_correlat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7: </w:t>
      </w:r>
      <w:r>
        <w:rPr>
          <w:i/>
          <w:sz w:val="19"/>
        </w:rPr>
        <w:t xml:space="preserve"> Pearson Inter-Descriptor Correlation Heatmap (20 Descriptors across 33 KRAS Therapeutics).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9563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kras_williams_applicability_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56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8: </w:t>
      </w:r>
      <w:r>
        <w:rPr>
          <w:i/>
          <w:sz w:val="19"/>
        </w:rPr>
        <w:t xml:space="preserve"> OECD Principle 3: Williams Plots Defining the Applicability Domain for KRAS Therapeutics on g-C3N4.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231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kras_3d_spatial_binding_m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</w:pPr>
      <w:r>
        <w:rPr>
          <w:b/>
          <w:color w:val="00695C"/>
          <w:sz w:val="19"/>
        </w:rPr>
        <w:t xml:space="preserve">Figure 9: </w:t>
      </w:r>
      <w:r>
        <w:rPr>
          <w:i/>
          <w:sz w:val="19"/>
        </w:rPr>
        <w:t xml:space="preserve"> Atomistic 3D Spatial Binding Modes: (a) MRTX1133 inside the KRAS-G12D allosteric pocket; (b) BI-2865 binding conformation; (c) MRTX1133 interfacial coordination on 2D g-C3N4 monolayer.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4. Conclusions</w:t>
      </w:r>
    </w:p>
    <w:p>
      <w:r>
        <w:t>This multi-scale study demonstrates that 2D polymeric graphitic carbon nitride (g-C3N4) nanosheets represent a potent, metal-free nanoplatform capable of high drug loading, stroma penetration, and pH-responsive release of allosteric KRAS-G12D inhibitors in pancreatic adenocarcinoma.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Acknowledgements &amp; Data Availability</w:t>
      </w:r>
    </w:p>
    <w:p>
      <w:r>
        <w:t>Supported by Universidad Estatal de Sonora and Universidad de Sonora. Full code and docking PDBQT files are available in the repository.</w:t>
      </w:r>
    </w:p>
    <w:p>
      <w:pPr>
        <w:pStyle w:val="Heading1"/>
        <w:keepNext/>
        <w:spacing w:before="280" w:after="120"/>
      </w:pPr>
      <w:r>
        <w:rPr>
          <w:rFonts w:ascii="Times New Roman" w:hAnsi="Times New Roman"/>
          <w:b/>
          <w:color w:val="00695C"/>
          <w:sz w:val="28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Giaquinto, A. N.; Sung, H.; Miller, K. D.; Kramer, J. L.; Newman, L. A.; Minihan, A.; Jemal, A.; Siegel, R. L. Breast cancer statistics, 2022. CA Cancer J. Clin. 2022, 72 (3), 202–229. </w:t>
      </w:r>
      <w:r>
        <w:rPr>
          <w:i/>
          <w:color w:val="00695C"/>
          <w:sz w:val="18"/>
        </w:rPr>
        <w:t>doi:10.3322/caac.21718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Foulkes, W. D.; Smith, I. E.; Reis-Filho, J. S. Triple-negative breast cancer. N. Engl. J. Med. 2010, 363 (20), 1938–1948. </w:t>
      </w:r>
      <w:r>
        <w:rPr>
          <w:i/>
          <w:color w:val="00695C"/>
          <w:sz w:val="18"/>
        </w:rPr>
        <w:t>doi:10.1056/NEJMra1001389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Lord, C. J.; Ashworth, A. PARP inhibitors: Synthetic lethality in the clinic. Science 2017, 355 (6330), 1152–1158. </w:t>
      </w:r>
      <w:r>
        <w:rPr>
          <w:i/>
          <w:color w:val="00695C"/>
          <w:sz w:val="18"/>
        </w:rPr>
        <w:t>doi:10.1126/science.aam7344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Mateo, J.; Lord, C. J.; Serra, V.; Tutt, A.; Balmaña, J.; Castroviejo-Bermejo, M.; Cruz, C.; Oaknin, A.; Kaye, S. B.; de Bono, J. S. A decade of clinical development of PARP inhibitors in perspective. Nat. Rev. Clin. Oncol. 2019, 16 (9), 565–583. </w:t>
      </w:r>
      <w:r>
        <w:rPr>
          <w:i/>
          <w:color w:val="00695C"/>
          <w:sz w:val="18"/>
        </w:rPr>
        <w:t>doi:10.1038/s41571-019-0219-4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Robson, M.; Im, S.-A.; Senkus, E.; Xu, B.; Domchek, S. M.; Masuda, N.; Delaloge, S.; Li, W.; Tung, N.; Armstrong, A. et al. Olaparib for metastatic breast cancer in patients with a germline BRCA mutation. N. Engl. J. Med. 2017, 377 (6), 523–533. </w:t>
      </w:r>
      <w:r>
        <w:rPr>
          <w:i/>
          <w:color w:val="00695C"/>
          <w:sz w:val="18"/>
        </w:rPr>
        <w:t>doi:10.1056/NEJMoa1706450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Litton, J. K.; Rugo, H. S.; Ettl, J.; Hurvitz, S. A.; Gonçalves, A.; Lee, K.-H.; Fehrenbacher, L.; Yerushalmi, R.; Mina, L. A.; Martin, M. et al. Talazoparib in patients with advanced breast cancer and a germline BRCA mutation. N. Engl. J. Med. 2018, 379 (8), 753–763. </w:t>
      </w:r>
      <w:r>
        <w:rPr>
          <w:i/>
          <w:color w:val="00695C"/>
          <w:sz w:val="18"/>
        </w:rPr>
        <w:t>doi:10.1056/NEJMoa1802905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Dent, R.; Trudeau, M.; Pritchard, K. I.; Hanna, W. M.; Kahn, H. K.; Sawka, C. A.; Lickley, L. A.; Rawlinson, E.; Sun, P.; Narod, S. A. Triple-negative breast cancer: clinical features and patterns of recurrence. Clin. Cancer Res. 2007, 13 (15), 4429–4434. </w:t>
      </w:r>
      <w:r>
        <w:rPr>
          <w:i/>
          <w:color w:val="00695C"/>
          <w:sz w:val="18"/>
        </w:rPr>
        <w:t>doi:10.1158/1078-0432.CCR-06-3045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Lehmann, B. D.; Bauer, J. A.; Chen, X.; Sanders, M. E.; Chakravarthy, A. B.; Shyr, Y.; Pietenpol, J. A. Identification of human triple-negative breast cancer subtypes and preclinical models for selection of targeted therapies. J. Clin. Invest. 2011, 121 (7), 2750–2767. </w:t>
      </w:r>
      <w:r>
        <w:rPr>
          <w:i/>
          <w:color w:val="00695C"/>
          <w:sz w:val="18"/>
        </w:rPr>
        <w:t>doi:10.1172/JCI45014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Bianchini, G.; Balko, J. M.; Mayer, I. A.; Sanders, M. E.; Gianni, L. Triple-negative breast cancer: challenges and emerging therapeutic strategies. Nat. Rev. Clin. Oncol. 2016, 13 (11), 674–690. </w:t>
      </w:r>
      <w:r>
        <w:rPr>
          <w:i/>
          <w:color w:val="00695C"/>
          <w:sz w:val="18"/>
        </w:rPr>
        <w:t>doi:10.1038/nrclinonc.2016.66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Pommier, Y.; O'Connor, M. J.; de Bono, J. Laying a trap to kill cancer cells: PARP inhibitors and their mechanisms of action. Sci. Transl. Med. 2016, 8 (362), 362ps17. </w:t>
      </w:r>
      <w:r>
        <w:rPr>
          <w:i/>
          <w:color w:val="00695C"/>
          <w:sz w:val="18"/>
        </w:rPr>
        <w:t>doi:10.1126/scitranslmed.aaf9246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Ciofani, G.; Genchi, G. G.; Liakos, I.; Athanassiou, A.; Dinucci, D.; Chiellini, F.; Mattoli, V. Human cervical and alveolar carcinoma cells response to boron nitride nanotubes: A comparative study. Nanomedicine 2012, 8 (4), 522–530. </w:t>
      </w:r>
      <w:r>
        <w:rPr>
          <w:i/>
          <w:color w:val="00695C"/>
          <w:sz w:val="18"/>
        </w:rPr>
        <w:t>doi:10.1016/j.nano.2011.07.009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Golberg, D.; Bando, Y.; Huang, Y.; Terao, T.; Mitome, M.; Tang, C.; Zhi, C. Boron nitride nanotubes and nanosheets. ACS Nano 2010, 4 (6), 2979–2993. </w:t>
      </w:r>
      <w:r>
        <w:rPr>
          <w:i/>
          <w:color w:val="00695C"/>
          <w:sz w:val="18"/>
        </w:rPr>
        <w:t>doi:10.1021/nn1006495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Ferreira, F. V.; Franceschi, W.; Menezes, B. R. C.; Biagio, P. R.; Coutinho, A. R. Synthesis, functionalization, and applications of carbon and boron nitride nanomaterials in drug delivery. J. Mater. Chem. B 2015, 3 (40), 8000–8018. </w:t>
      </w:r>
      <w:r>
        <w:rPr>
          <w:i/>
          <w:color w:val="00695C"/>
          <w:sz w:val="18"/>
        </w:rPr>
        <w:t>doi:10.1039/C5TB01185H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Chen, X.; Wu, P.; Rousseas, M.; Okawa, D.; Gartner, Z.; Zettl, A.; Bertozzi, C. R. Boron nitride nanotubes are noncytotoxic and can be functionalized for targeted drug delivery. J. Am. Chem. Soc. 2016, 131 (3), 890–891. </w:t>
      </w:r>
      <w:r>
        <w:rPr>
          <w:i/>
          <w:color w:val="00695C"/>
          <w:sz w:val="18"/>
        </w:rPr>
        <w:t>doi:10.1021/ja807334b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Robles-Hernández, J.-S.-L.; Medina, D. I.; Salcedo, R.; Miralrio, A. Quantum and machine learning-guided QSAR/QSPR modeling of therapeutics conjugated to functionalized fullerenes for enhanced anticancer drug delivery. Beilstein J. Nanotechnol. 2024, 15, 1170–1188. </w:t>
      </w:r>
      <w:r>
        <w:rPr>
          <w:i/>
          <w:color w:val="00695C"/>
          <w:sz w:val="18"/>
        </w:rPr>
        <w:t>doi:10.3762/bjnano.15.96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Mukherjee, S.; Roy, S.; Sarkar, A. Structural, electronic, and adsorption properties of pristine and functionalized B36N36 nanocages for drug delivery applications: A DFT perspective. Phys. Chem. Chem. Phys. 2019, 21 (14), 7480–7492. </w:t>
      </w:r>
      <w:r>
        <w:rPr>
          <w:i/>
          <w:color w:val="00695C"/>
          <w:sz w:val="18"/>
        </w:rPr>
        <w:t>doi:10.1039/C8CP07641A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Gao, Z.; Zhi, C.; Bando, Y.; Golberg, D.; Serizawa, T. Noncovalent functionalization of boron nitride nanosheets with hydrophilic polymers for enhanced biocompatibility and cellular uptake. ACS Appl. Mater. Interfaces 2017, 9 (6), 4988–4996. </w:t>
      </w:r>
      <w:r>
        <w:rPr>
          <w:i/>
          <w:color w:val="00695C"/>
          <w:sz w:val="18"/>
        </w:rPr>
        <w:t>doi:10.1021/acsami.6b14644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Weng, Q.; Wang, X.; Bando, Y.; Golberg, D. Functionalized hexagonal boron nitride nanomaterials: emerging properties and applications. Chem. Soc. Rev. 2016, 45 (14), 3989–4012. </w:t>
      </w:r>
      <w:r>
        <w:rPr>
          <w:i/>
          <w:color w:val="00695C"/>
          <w:sz w:val="18"/>
        </w:rPr>
        <w:t>doi:10.1039/C5CS00869G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Emanet, M.; Sen, O.; Çulha, M. Evaluation of biocompatibility and cellular interaction of boron nitride nanoparticles on mammalian cells. Nanotechnology 2015, 26 (39), 395101. </w:t>
      </w:r>
      <w:r>
        <w:rPr>
          <w:i/>
          <w:color w:val="00695C"/>
          <w:sz w:val="18"/>
        </w:rPr>
        <w:t>doi:10.1088/0957-4484/26/39/395101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Singh, B.; Sharma, R.; Kumar, P. Boron nitride nanocages as efficient carriers for fluorouracil and gemcitabine: A theoretical investigation. J. Mol. Liq. 2020, 318, 114032. </w:t>
      </w:r>
      <w:r>
        <w:rPr>
          <w:i/>
          <w:color w:val="00695C"/>
          <w:sz w:val="18"/>
        </w:rPr>
        <w:t>doi:10.1016/j.molliq.2020.114032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Parr, R. G.; Szentpály, L. v.; Liu, S. Electrophilicity index. J. Am. Chem. Soc. 1999, 121 (9), 1922–1924. </w:t>
      </w:r>
      <w:r>
        <w:rPr>
          <w:i/>
          <w:color w:val="00695C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Chattaraj, P. K.; Giri, S. Electrophilicity index: applications in chemistry, biology, and materials science. Annu. Rep. Prog. Chem., Sect. C: Phys. Chem. 2009, 105, 13–39. </w:t>
      </w:r>
      <w:r>
        <w:rPr>
          <w:i/>
          <w:color w:val="00695C"/>
          <w:sz w:val="18"/>
        </w:rPr>
        <w:t>doi:10.1039/B802832J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Geerlings, P.; De Proft, F.; Langenaeker, W. Conceptual density functional theory. Chem. Rev. 2003, 103 (5), 1793–1874. </w:t>
      </w:r>
      <w:r>
        <w:rPr>
          <w:i/>
          <w:color w:val="00695C"/>
          <w:sz w:val="18"/>
        </w:rPr>
        <w:t>doi:10.1021/cr990029p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Pearson, R. G. Absolute electronegativity and hardness: application to inorganic and organic chemistry. Inorg. Chem. 1988, 27 (4), 734–740. </w:t>
      </w:r>
      <w:r>
        <w:rPr>
          <w:i/>
          <w:color w:val="00695C"/>
          <w:sz w:val="18"/>
        </w:rPr>
        <w:t>doi:10.1021/ic00277a030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Hourahine, B.; Aradi, B.; Blum, V.; Bonafé, F.; Buccheri, A.; Camacho, C.; Cevallos, C.; Deshaye, M. Y.; Dumitrică, T.; Dominguez, H. et al. DFTB+, a software package for efficient approximate density functional theory based atomistic simulations. J. Chem. Phys. 2020, 152 (12), 124101. </w:t>
      </w:r>
      <w:r>
        <w:rPr>
          <w:i/>
          <w:color w:val="00695C"/>
          <w:sz w:val="18"/>
        </w:rPr>
        <w:t>doi:10.1063/1.5143190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Gaus, M.; Cui, Q.; Elstner, M. DFTB3: Extension of the self-consistent-charge density-functional tight-binding method (SCC-DFTB). J. Chem. Theory Comput. 2011, 7 (4), 931–948. </w:t>
      </w:r>
      <w:r>
        <w:rPr>
          <w:i/>
          <w:color w:val="00695C"/>
          <w:sz w:val="18"/>
        </w:rPr>
        <w:t>doi:10.1021/ct100684s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Grimme, S.; Bannwarth, C.; Shushkov, P. A robust and accurate tight-binding quantum chemical method for structures, vibrational frequencies, and noncovalent interactions of large molecular systems. J. Chem. Theory Comput. 2019, 13 (5), 1989–2009. </w:t>
      </w:r>
      <w:r>
        <w:rPr>
          <w:i/>
          <w:color w:val="00695C"/>
          <w:sz w:val="18"/>
        </w:rPr>
        <w:t>doi:10.1021/acs.jctc.7b00118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Koopmans, T. Über die Zuordnung von Wellenfunktionen und Eigenwerten zu den einzelnen Elektronen eines Atoms. Physica 1934, 1 (1-6), 104–113. </w:t>
      </w:r>
      <w:r>
        <w:rPr>
          <w:i/>
          <w:color w:val="00695C"/>
          <w:sz w:val="18"/>
        </w:rPr>
        <w:t>doi:10.1016/S0031-8914(34)90011-2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Boys, S. F.; Bernardi, F. The calculation of small molecular interactions by the differences of separate total energies. Some procedures with reduced errors. Mol. Phys. 1970, 19 (4), 553–566. </w:t>
      </w:r>
      <w:r>
        <w:rPr>
          <w:i/>
          <w:color w:val="00695C"/>
          <w:sz w:val="18"/>
        </w:rPr>
        <w:t>doi:10.1080/00268977000101561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Miralrio, A.; Medina, D. I. Quantum chemical descriptors in QSAR/QSPR modeling: Applications and perspectives. Molecules 2020, 25 (19), 4474. </w:t>
      </w:r>
      <w:r>
        <w:rPr>
          <w:i/>
          <w:color w:val="00695C"/>
          <w:sz w:val="18"/>
        </w:rPr>
        <w:t>doi:10.3390/molecules25194474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Trott, O.; Olson, A. J. AutoDock Vina: improving the speed and accuracy of docking with a new scoring function, efficient optimization, and multithreading. J. Comput. Chem. 2010, 31 (2), 455–461. </w:t>
      </w:r>
      <w:r>
        <w:rPr>
          <w:i/>
          <w:color w:val="00695C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Eberhardt, J.; Santos-Martins, D.; Tillack, A. F.; Forli, S. AutoDock Vina 1.2.0: New docking methods, expanded force field, and python bindings. J. Chem. Inf. Model. 2021, 61 (8), 3891–3898. </w:t>
      </w:r>
      <w:r>
        <w:rPr>
          <w:i/>
          <w:color w:val="00695C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Papeo, G.; Posteri, H.; Borghi, D.; Busel, A. A.; Caprera, F.; Casale, E.; Ciomei, M.; Cirla, A.; Corti, L.; D'Anello, M. et al. Discovery of 2-[4-(trifluoromethyl)phenyl]-7,8-dihydro-5H-thiopyrano[4,3-d]pyrimidin-4-ol (NMS-P118): a potent, orally available, and highly selective PARP-1 inhibitor. J. Med. Chem. 2014, 57 (16), 6993–7005. </w:t>
      </w:r>
      <w:r>
        <w:rPr>
          <w:i/>
          <w:color w:val="00695C"/>
          <w:sz w:val="18"/>
        </w:rPr>
        <w:t>doi:10.1021/jm5006456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Riniker, S.; Landrum, G. A. Better informed distance geometry: using knowledge to improve conformer generation in RDKit. J. Chem. Inf. Model. 2015, 55 (12), 2562–2574. </w:t>
      </w:r>
      <w:r>
        <w:rPr>
          <w:i/>
          <w:color w:val="00695C"/>
          <w:sz w:val="18"/>
        </w:rPr>
        <w:t>doi:10.1021/acs.jcim.5b00424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Landrum, G. et al. RDKit: Open-source cheminformatics toolkit. Version 2023.09.1, http://www.rdkit.org (accessed August 2026). </w:t>
      </w:r>
      <w:r>
        <w:rPr>
          <w:i/>
          <w:color w:val="00695C"/>
          <w:sz w:val="18"/>
        </w:rPr>
        <w:t>doi:10.5281/zenodo.597034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Berman, H. M.; Westbrook, J.; Feng, Z.; Gilliland, G.; Bhat, T. N.; Weissig, H.; Shindyalov, I. N.; Bourne, P. E. The Protein Data Bank. Nucleic Acids Res. 2000, 28 (1), 235–242. </w:t>
      </w:r>
      <w:r>
        <w:rPr>
          <w:i/>
          <w:color w:val="00695C"/>
          <w:sz w:val="18"/>
        </w:rPr>
        <w:t>doi:10.1093/nar/28.1.235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Delaney, J. S. ESOL: Estimating aqueous solubility directly from molecular structure. J. Chem. Inf. Comput. Sci. 2004, 44 (3), 1000–1005. </w:t>
      </w:r>
      <w:r>
        <w:rPr>
          <w:i/>
          <w:color w:val="00695C"/>
          <w:sz w:val="18"/>
        </w:rPr>
        <w:t>doi:10.1021/ci034243x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Wishart, D. S.; Feunang, Y. D.; Guo, A. C.; Lo, E. J.; Marcu, A.; Grant, J. R.; Sajed, T.; Johnson, D.; Li, C.; Sayeeda, Z. et al. DrugBank 5.0: a major update to the DrugBank database for 2018. Nucleic Acids Res. 2018, 46 (D1), D1074–D1082. </w:t>
      </w:r>
      <w:r>
        <w:rPr>
          <w:i/>
          <w:color w:val="00695C"/>
          <w:sz w:val="18"/>
        </w:rPr>
        <w:t>doi:10.1093/nar/gkx1037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Lundberg, S. M.; Lee, S.-I. A unified approach to interpreting model predictions. In Advances in Neural Information Processing Systems (NeurIPS 2017); Guyon, I. et al., Eds.; Curran Associates, Inc.: Red Hook, NY, 2017; Vol. 30, pp 4765–4774. </w:t>
      </w:r>
      <w:r>
        <w:rPr>
          <w:i/>
          <w:color w:val="00695C"/>
          <w:sz w:val="18"/>
        </w:rPr>
        <w:t>doi:10.48550/arXiv.1705.07874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Chen, T.; Guestrin, C. XGBoost: A scalable tree boosting system. In Proceedings of the 22nd ACM SIGKDD International Conference on Knowledge Discovery and Data Mining; ACM: New York, NY, 2016; pp 785–794. </w:t>
      </w:r>
      <w:r>
        <w:rPr>
          <w:i/>
          <w:color w:val="00695C"/>
          <w:sz w:val="18"/>
        </w:rPr>
        <w:t>doi:10.1145/2939672.2939785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Geurts, P.; Ernst, D.; Wehenkel, L. Extremely randomized trees. Mach. Learn. 2006, 63 (1), 3–42. </w:t>
      </w:r>
      <w:r>
        <w:rPr>
          <w:i/>
          <w:color w:val="00695C"/>
          <w:sz w:val="18"/>
        </w:rPr>
        <w:t>doi:10.1007/s10994-006-6226-1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OECD. Guidance Document on the Validation of (Quantitative) Structure-Activity Relationship [(Q)SAR] Models. OECD Series on Testing and Assessment, No. 69; OECD Publishing: Paris, France, 2007. </w:t>
      </w:r>
      <w:r>
        <w:rPr>
          <w:i/>
          <w:color w:val="00695C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Gramatica, P. Principles of QSAR models validation: internal and external. QSAR Comb. Sci. 2007, 26 (5), 694–701. </w:t>
      </w:r>
      <w:r>
        <w:rPr>
          <w:i/>
          <w:color w:val="00695C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Rodríguez-Pérez, R.; Bajorath, J. Interpretation of machine learning models using shapley additive explanations (SHAP) in chemistry and drug discovery. J. Med. Chem. 2020, 63 (16), 8677–8688. </w:t>
      </w:r>
      <w:r>
        <w:rPr>
          <w:i/>
          <w:color w:val="00695C"/>
          <w:sz w:val="18"/>
        </w:rPr>
        <w:t>doi:10.1021/acs.jmedchem.9b01101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Tropsha, A. Best practices for QSAR model development, validation, and exploitation. Mol. Inf. 2010, 29 (6-7), 476–488. </w:t>
      </w:r>
      <w:r>
        <w:rPr>
          <w:i/>
          <w:color w:val="00695C"/>
          <w:sz w:val="18"/>
        </w:rPr>
        <w:t>doi:10.1002/minf.201000061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