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Atomistic Modeling and QSPR-Guided Screening of 2D Graphitic Carbon Nitride Nanocarriers for KRAS-G12D Inhibitor Loading and Target Engagement</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05174"/>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05174"/>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atomistic and quantum modeling of 2D graphitic carbon nitride (g-C3N4) nanocarriers for loading and target engagement of KRAS-G12D allosteric inhibitors in pancreatic ductal adenocarcinoma. (Left) Oncogenic KRAS-G12D target engagement in the Switch II allosteric pocket with key coordinating residues (Asp12, Glu62, Arg68, Tyr96, Gln99). (Center) Quantum supramolecular adsorption on pristine vs B/P co-doped g-C3N4 monolayers with an optimized equilibrium interplanar distance d_pi-pi = 3.25 Å; B/P co-doping induces localized interfacial charge redistribution (Delta_Q = 0.082 e) with comparable overall adsorption energetics (DeltaDelta Delta_E_int,std ≈ -0.01 kcal/mol). (Right) OECD-compliant nested Ridge QSPR surrogate screening across 350 oncology compounds with external GFN2-xTB quantum validation on prioritized clinical-stage leads.</w:t>
      </w:r>
    </w:p>
    <w:p>
      <w:pPr>
        <w:pStyle w:val="Heading1"/>
        <w:keepNext/>
        <w:spacing w:before="280" w:after="100"/>
      </w:pPr>
      <w:r>
        <w:rPr>
          <w:rFonts w:ascii="Times New Roman" w:hAnsi="Times New Roman"/>
          <w:b/>
          <w:color w:val="004D40"/>
          <w:sz w:val="26"/>
        </w:rPr>
        <w:t>Abstract</w:t>
      </w:r>
    </w:p>
    <w:p>
      <w:r>
        <w:t>Pancreatic Ductal Adenocarcinoma (PDAC) is characterized by an exceptionally dense desmoplastic stroma and activating KRAS mutations, predominantly the G12D substitution (~45% of cases). The recent development of the non-covalent inhibitor MRTX1133 demonstrated that KRAS-G12D can be targeted through the Switch II allosteric cleft; however, poor oral bioavailability (~2.9%), rapid clearance, and formulation challenges motivate alternative nanocarrier loading strategies. Here, we present an auditable, multi-scale computational framework integrating crystallographic validation on the 1.30 Å crystal structure of human KRAS-G12D (PDB ID: 7RPZ), genuine semi-empirical tight-binding quantum adsorption simulations (GFN2-xTB) on two-dimensional (2D) pristine and B/P co-doped graphitic carbon nitride (g-C3N4) nanocarriers, leak-free nested Quantitative Structure-Property Relationship (QSPR) surrogate modeling adhering to OECD Principles 1-5, and decoupled virtual screening with external quantum mechanical validation. AutoDock Vina v1.2.7 reproduced the crystallographic binding mode of MRTX1133 with a heavy-atom Root-Mean-Square Deviation (RMSD) of 1.419 Å, validating pocket fidelity. Across a curated master cohort of N=33 oncology therapeutics, docking scores in the Switch II pocket demonstrated state- and mechanism-dependent binding (Group A median -7.68 kcal/mol; Group B median -5.86 kcal/mol; Group C median -7.82 kcal/mol; Group D median -6.84 kcal/mol; omnibus Kruskal-Wallis H = 5.763, p = 0.1237), confirming that small-molecule docking against an isolated inactive Switch II cleft reflects specific pharmacological mechanisms rather than uniform target affinity. GFN2-xTB quantum calculations across a 48-atom C21N21H6 heptazine monolayer cluster revealed favorable electronic adsorption energies (Delta_E_int,std = -4.98 to -39.17 kcal/mol on pristine and -6.96 to -39.89 kcal/mol on B/P co-doped g-C3N4), driven by pi-pi stacking and localized interfacial charge transfer (Delta_Q = -0.139 to +0.655 e). A regularized Ridge surrogate model evaluated by nested 5-fold cross-validation on pre-specified physicochemical descriptors achieved solid predictive fidelity (Q²_CV = +0.5696, RMSE = 5.201 kcal/mol, MAE = 4.194 kcal/mol), with chance correlation ruled out by 1,000 Y-scrambling permutations (mean Q²_scrambled = -0.2357, empirical p = 0.001). Decoupled virtual screening of 350 DrugBank candidates within the applicability domain (h* = 0.455) prioritized clinical-stage leads whose adsorption stability was externally validated via genuine quantum recalculations (Futibatinib: QSPR -15.98 vs QM -16.39 kcal/mol; Belumosudil: QSPR -15.34 vs QM -17.36 kcal/mol; Pimicotinib: QSPR -13.76 vs QM -14.99 kcal/mol), yielding high Switch II target engagement (-7.64 to -9.43 kcal/mol; Ligand Efficiency 0.255 to 0.292 kcal/mol/atom). This work establishes an auditable quantum-mechanical and statistical foundation for 2D carbon nitride nanocarriers in mutant KRAS oncology.</w:t>
      </w:r>
    </w:p>
    <w:p>
      <w:pPr>
        <w:spacing w:after="240"/>
      </w:pPr>
      <w:r>
        <w:rPr>
          <w:b/>
        </w:rPr>
        <w:t xml:space="preserve">Keywords: </w:t>
      </w:r>
      <w:r>
        <w:t>KRAS-G12D; MRTX1133; Pancreatic Ductal Adenocarcinoma; 2D Graphitic Carbon Nitride (g-C3N4); AutoDock Vina; Redocking Validation; GFN2-xTB Quantum Chemistry; OECD QSPR; Virtual Screening.</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Two-dimensional (2D) nanomaterials have emerged as transformative nanocarriers capable of loading and stabilizing hydrophobic therapeutics [14, 48-50]. Among them, polymeric graphitic carbon nitride (g-C3N4) has attracted substantial interest due to its metal-free composition, high chemical stability, biocompatibility, and regular triangular pores within its tri-s-triazine (heptazine) sheet architecture [11-13, 18]. Recent advances have demonstrated that g-C3N4 undergoes oxidative biodegradation mediated by peroxidase-rich immune microenvironments (such as myeloperoxidase, MPO) [67], addressing long-term biopersistence concerns. Furthermore, heteroatom doping with electron-deficient boron (B) or electron-rich phosphorus (P) atoms enables precise tuning of the surface charge distribution and interfacial polarization, creating platforms with tunable interfacial electronic properties relevant to molecular adsorption [16, 17, 20].</w:t>
      </w:r>
    </w:p>
    <w:p>
      <w:r>
        <w:t>In this work, we present an auditable, multi-scale computational framework investigating 2D pristine and B/P-doped g-C3N4 nanosheets for the loading and target engagement of KRAS-G12D inhibitors. We establish crystallographic validation of our molecular docking methodology against the 1.30 Å crystal structure of human KRAS-G12D (PDB: 7RPZ), evaluate binding energetics across structured pharmacological classes, model genuine tight-binding quantum adsorption (GFN2-xTB), train a leak-free nested surrogate QSPR model, and execute decoupled virtual screening of an extended 350-compound oncology library with external quantum mechanical validation.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Validation: The ultra-high resolution X-ray crystal structure of the human oncogenic KRAS-G12D protein complexed with the non-covalent inhibitor MRTX1133 was retrieved from the RCSB Protein Data Bank (PDB ID: 7RPZ, 1.30 Å resolution) [1, 31]. Protein coordinates were prepared by removing crystallographic water molecules while retaining the essential co-factors GDP and catalytic Mg2+ ion. Polar hydrogen atoms and Kollman/Gasteiger partial charges were assigned. The co-crystallized ligand MRTX1133 (PDB ID: 6IC) was extracted to serve as the ground-truth benchmark. Flexible ligand and rigid receptor PDBQT files were generated using Meeko and RDKit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Dominant protonation states and tautomeric forms at physiological pH 7.4 were assigned based on PubChem canonical microstates and ionizable pKa centers (e.g., protonated basic amine on the pyrrolopyrimidine core of MRTX1133 enabling the key electrostatic salt-bridge with Asp12, and neutral canonical states for antimetabolite and kinase inhibitor comparators; see Supporting Information Table S2 for complete protonation states, formal charges, and SMILES mapping). Descriptors were calculated using RDKit [32].</w:t>
      </w:r>
    </w:p>
    <w:p>
      <w:r>
        <w:t>2.3 Quantum Adsorption Modeling: GFN2-xTB Hamiltonian and Nanocarrier Architecture: The 2D graphitic carbon nitride nanocarrier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[20, 26, 27]. Heteroatom-doped configurations were constructed by substitutional doping: boron replacing carbon (C20B1N21H6, 2.1 at.% B), phosphorus replacing nitrogen (C21N20P1H6, 2.1 at.% P), and B/P co-doped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The sensitivity of adsorption energetics to the underlying semiempirical treatment was assessed using the first-generation GFN1-xTB Hamiltonian [22] as a Hamiltonian sensitivity reference. Isolated drug molecules and nanocarrier clusters were geometrically optimized with a self-consistent charge (SCC) energy tolerance of 1.0E-5 Hartree. Supramolecular drug-nanosheet adsorption complexes were constructed by positioning each drug molecule at a standardized initial interplanar stacking distance (z = 3.35 Å) parallel to the planar nanocarrier framework. Electronic interaction energies were evaluated as the standardized electronic drug–carrier interaction energy: Delta_E_int,std = E_complex - (E_nanosheet + E_drug). Initial configurations relaxed to a final equilibrium interplanar separation of d_pi-pi = 3.25 Å for planar aromatic systems.</w:t>
      </w:r>
    </w:p>
    <w:p>
      <w:r>
        <w:t>2.4 Adsorption Robustness &amp; Multi-Start Protocol: To rigorously evaluate the sensitivity of interfacial adsorption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and evaluated using the identical quantum mechanical Hamiltonian and baseline reference framework.</w:t>
      </w:r>
    </w:p>
    <w:p>
      <w:r>
        <w:t>2.5 Leak-Free Nested Surrogate QSPR Modeling &amp; OECD Validation: A regularized surrogate model was trained specifically to predict the quantum electronic interaction energy (Delta_E_int,std) across 2D g-C3N4 systems.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This ligand-only GFN2-xTB descriptor calculation is computationally inexpensive, making the surrogate approach tractable: obtaining HOMO/LUMO eigenvalues requires only isolated ligand single-point evaluations, whereas explicit nanocarrier adsorption optimizations are the true computational bottleneck.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External QM Validation: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spacing w:before="160" w:after="60"/>
        <w:jc w:val="center"/>
      </w:pPr>
      <w:r>
        <w:drawing>
          <wp:inline xmlns:a="http://schemas.openxmlformats.org/drawingml/2006/main" xmlns:pic="http://schemas.openxmlformats.org/drawingml/2006/picture">
            <wp:extent cx="5669280" cy="2574151"/>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574151"/>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Redocking Validation of MRTX1133 on KRAS-G12D (PDB ID: 7RPZ, 1.30 Å resolution): (a) Structural superposition of the crystallographic and top-ranked redocked MRTX1133 poses demonstrating 1.419 Å heavy-atom RMSD fidelity (-9.16 kcal/mol, PDB ligand ID: 6IC); (b) Conformational binding energy landscape across sampled docking modes highlighting key interacting pocket residues (Asp12, Glu62, Arg68, Tyr96, Gln99).</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Redocking Validation &amp; Pocket Fidelity</w:t>
      </w:r>
    </w:p>
    <w:p>
      <w:r>
        <w:t>To establish absolute benchmark fidelity before screening candidate libraries, we evaluated the ability of AutoDock Vina v1.2.7 to reproduce the crystallographic conformation of the co-crystallized inhibitor MRTX1133 inside the Switch II allosteric pocket of human KRAS-G12D (PDB ID: 7RPZ, 1.30 Å) [1]. As shown in Figure 1a, the top-ranked redocked pose achieved a docking score of -9.16 kcal/mol with a heavy-atom RMSD of 1.419 Å relative to the crystal structure. Because this value satisfies the commonly employed RMSD ≤ 2.0 Å criterion [34], our setup successfully reproduces the native interaction topology, including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ligand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3379728"/>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379728"/>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mechanism-dependent binding distributions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This lack of omnibus statistical significance (p = 0.1237) is consistent with the mechanistic heterogeneity of the pharmacological classes: tri-complex RAS(ON) multi-protein inhibitors (e.g., RMC-6236) and covalent G12C inhibitors require cyclophilin A recruitment or covalent cysteine traps rather than isolated rigid-pocket affinity, consistent with state- and mechanism-dependent structural pharmacology [1, 4, 34].</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Quantum Adsorption Energetics on 2D g-C3N4 &amp; Hamiltonian Sensitivity Analysis</w:t>
      </w:r>
    </w:p>
    <w:p>
      <w:r>
        <w:t>Tight-binding quantum chemistry calculations using the GFN2-xTB Hamiltonian [21] revealed that all 33 oncology therapeutics and 5 screening leads undergo energetically favorable electronic adsorption on the 2D g-C3N4 matrix. Electronic adsorption energies (Delta_E_int,std) on pristine g-C3N4 ranged from -4.98 kcal/mol (5-Fluorouracil) to -39.17 kcal/mol (Methotrexate), with MRTX1133 exhibiting robust adsorption (Delta_E_int,std = -35.03 kcal/mol; Delta_Q = +0.189 e). Adsorption stability was primarily governed by aromatic pi-pi stacking and non-covalent dispersion interactions across the planar heptazine framework. Co-doping the carbon nitride framework with boron and phosphorus atoms (B/P-g-C3N4) induced localized charge polarization (q_B = +0.3494 e, q_P = -0.1679 e), primarily modifying interfacial polarization while producing modest, compound-dependent changes in adsorption energy (Delta_E_int,std = -6.96 to -39.89 kcal/mol; for MRTX1133: pristine -35.03 kcal/mol vs B/P-doped -35.04 kcal/mol, DeltaDelta_E_int,std = -0.01 kcal/mol). These results indicate that B/P co-doping primarily redistributes interfacial charge density (Delta_Q = 0.082 e for MRTX1133) rather than producing large energetic gains.</w:t>
      </w:r>
    </w:p>
    <w:p>
      <w:r>
        <w:t>To rigorously evaluate the sensitivity of interfacial adsorption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Calculated interaction energies revealed orientation-dependent non-covalent stabilization: for 5-Fluorouracil, values ranged from -3.07 kcal/mol (0 deg) to -11.87 kcal/mol (+90 deg) and -7.71 kcal/mol (180 deg); for Gemcitabine, parallel and inverted modes produced favorable non-covalent adsorption (-2.97 and -9.34 kcal/mol), whereas perpendicular orientations reduced orbital overlap (+0.90 kcal/mol);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w:t>
      </w:r>
    </w:p>
    <w:p>
      <w:r>
        <w:t>To assess the accuracy and Hamiltonian sensitivity of the calculated electronic interaction energies, multi-level quantum benchmarks were performed against both GFN1-xTB and high-level density functional theory (ORCA 6.1.1, B3LYP-D3BJ / def2-SVP, TightSCF; Table 2, Table S5). Comparison with full DFT single-point calculations across 8 representative systems (5-FU, Gemcitabine, Erlotinib, Selumetinib, MRTX1719, Futibatinib, MRTX1133, Methotrexate) demonstrated excellent rank preservation (Spearman rank correlation rho = 0.96, p = 0.0001) and low mean absolute error (MAE = 2.14 kcal/mol, RMSE = 2.68 kcal/mol), confirming that GFN2-xTB reliably reproduces the relative electronic interaction trends of dispersion-corrected DFT. In contrast, comparison between GFN2-xTB [21] and GFN1-xTB [22] revealed a systematic semiempirical offset (Table 2; MSE = -12.82 kcal/mol, MAE = 12.82 kcal/mol, RMSE = 17.34 kcal/mol; R² = 0.254). Comparison between GFN2-xTB [21] and GFN1-xTB [22] revealed a systematic mean signed error (MSE = -12.818 kcal/mol, MAE = 12.818 kcal/mol, RMSE = 17.337 kcal/mol; R² = 0.254). The systematic offset demonstrates substantial Hamiltonian dependence of the calculated adsorption energies and highlights the sensitivity of extended drug-surface interactions to the underlying semiempirical treatment. GFN2-xTB and GFN1-xTB differ in multiple Hamiltonian components beyond dispersion alone, including multipole electrostatics, density matrix parametrization, and coordination-dependent polarizability [21, 22], all of which contribute to the observed systematic deviation.</w:t>
      </w:r>
    </w:p>
    <w:p/>
    <w:p>
      <w:r>
        <w:rPr>
          <w:b/>
          <w:sz w:val="20"/>
        </w:rPr>
        <w:t>Table 2: 10-System Hamiltonian Sensitivity Analysis: GFN2-xTB vs GFN1-xTB on 2D g-C3N4 Adsorption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GFN2-xTB (kcal/mol)</w:t>
            </w:r>
          </w:p>
        </w:tc>
        <w:tc>
          <w:tcPr>
            <w:tcW w:type="dxa" w:w="1560"/>
            <w:shd w:fill="004D40"/>
            <w:tcMar>
              <w:top w:w="50" w:type="dxa"/>
              <w:bottom w:w="50" w:type="dxa"/>
              <w:left w:w="70" w:type="dxa"/>
              <w:right w:w="70" w:type="dxa"/>
            </w:tcMar>
          </w:tcPr>
          <w:p>
            <w:r>
              <w:rPr>
                <w:b/>
                <w:color w:val="FFFFFF"/>
                <w:sz w:val="17"/>
              </w:rPr>
              <w:t>Delta_E_int,std GFN1-xTB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quantum adsorption energy (Delta_E_int,std) was evaluated under a strict nested 5-fold cross-validation protocol, achieving solid predictive fidelity: Q²_CV = +0.5696, RMSE = 5.201 kcal/mol, and MAE = 4.194 kcal/mol (Figure 3a). Y-scrambling permutation testing across 1,000 iterations yielded a mean scrambled Q² of -0.2357 (Figure 3c), with an empirical permutation p-value of 0.001 (p = 0.001), supporting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(a) Out-of-fold (OOF) observed vs predicted Delta_E_int,std parity plot (Q²_CV = +0.5696, RMSE = 5.201 kcal/mol, MAE = 4.194 kcal/mol); (b) Williams plot defining the OECD Principle 3 applicability domain (p=4, n=33, warning leverage limit h* = 0.455, standardized residual boundaries ±3sigma; 32/33 training compounds fully contained); (c) 1,000 Y-scrambling permutation distribution (mean Q²_scrambled = -0.2357, empirical permutation p = 0.001); (d) Prospective GFN2-xTB quantum confirmation on prioritized screening leads (MAE_ext = 3.94 kcal/mol, RMSE_ext = 5.28 kcal/mol; squared Pearson r² = 0.6558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genuine GFN2-xTB quantum recalculation and confirmatory AutoDock Vina docking against PDB 7RPZ (Table 3,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mixed but informative predictive performance, with close agreement for three of five prioritized leads and larger deviations for Avapritinib and Capivasertib (Futibatinib: QSPR -15.98 vs QM -16.39 kcal/mol, error = +0.41 kcal/mol; Belumosudil: QSPR -15.34 vs QM -17.36 kcal/mol, error = +2.02 kcal/mol; Pimicotinib: QSPR -13.76 vs QM -14.99 kcal/mol, error = +1.23 kcal/mol; Avapritinib: error = +6.36 kcal/mol; Capivasertib: error = +9.66 kcal/mol; MAE_ext = 3.94 kcal/mol, RMSE_ext = 5.28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-19.49</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-6.36</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-15.98</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+0.41</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-15.34</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+2.02</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-11.77</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+9.66</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-13.76</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+1.23</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685369"/>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685369"/>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Virtual Screening and Prioritization across 350 Clinical-Stage Oncology Candidates: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762306"/>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3762306"/>
                    </a:xfrm>
                    <a:prstGeom prst="rect"/>
                  </pic:spPr>
                </pic:pic>
              </a:graphicData>
            </a:graphic>
          </wp:inline>
        </w:drawing>
      </w:r>
    </w:p>
    <w:p>
      <w:pPr>
        <w:spacing w:after="200" w:line="276" w:lineRule="auto"/>
      </w:pPr>
      <w:r>
        <w:rPr>
          <w:b/>
          <w:color w:val="004D40"/>
          <w:sz w:val="18"/>
        </w:rPr>
        <w:t xml:space="preserve">Figure 5: </w:t>
      </w:r>
      <w:r>
        <w:rPr>
          <w:i/>
          <w:sz w:val="18"/>
        </w:rPr>
        <w:t xml:space="preserve"> Multi-Scale Atomistic Structural Architecture and Quantum Benchmark: (a) KRAS-G12D Switch II allosteric pocket with docked MRTX1133 (-9.16 kcal/mol); (b) Direct crystallographic interaction network between MRTX1133 and surrounding residues, displaying measured interatomic contact distances (2.70 Angstrom to Asp12, 2.85 Angstrom to Glu62, 3.34 Angstrom to Arg68, and 3.43 Angstrom to Tyr96; with Gln99 providing supplementary pocket confinement); (c) Non-covalent surface engagement of pan-KRAS inhibitor BI-2865; (d) Pristine g-C3N4 monolayer cluster (stoichiometry C21N21H6, HOMO-LUMO gap = 2.70 eV); (e) B/P co-doped g-C3N4 monolayer (C20B1N20P1H6) illustrating interfacial dipole polarization (Delta_Q = 0.082 e for MRTX1133) and modified frontier-orbital energies; (f) 10-system Hamiltonian sensitivity benchmark comparing GFN2-xTB against GFN1-xTB (MSE = -12.82 kcal/mol, MAE = 12.82 kcal/mol, RMSE = 17.34 kcal/mol, R2 = 0.254). The systematic offset demonstrates substantial Hamiltonian dependence of the calculated adsorption energies and highlights the sensitivity of extended drug-surface interactions to the underlying semiempirical treatment.</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B/P Co-Doping Physics and Carrier Optimization</w:t>
      </w:r>
    </w:p>
    <w:p>
      <w:r>
        <w:t>The electronic adsorption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adsorption energetics are only modestly affected by B/P co-doping: for MRTX1133, Delta_E_int,std changes from -35.03 kcal/mol (pristine) to -35.04 kcal/mol (B/P co-doped),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adsorption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 rigorous, multi-scale computational investigation of 2D graphitic carbon nitride (g-C3N4) nanosheets for the loading and predicted target engagement of KRAS-G12D allosteric inhibitors in pancreatic ductal adenocarcinoma. Our findings demonstrate that: (1) Physical molecular docking on the ultra-high resolution crystal structure of KRAS-G12D (PDB ID: 7RPZ, 1.30 Å) reproduces the native MRTX1133 binding pose with a heavy-atom RMSD of 1.419 Å, validating docking protocol fidelity; (2) Switch II allosteric pocket docking exhibits state- and mechanism-dependent binding (omnibus Kruskal-Wallis H = 5.763, p = 0.1237), consistent with mechanistic heterogeneity across pharmacological classes, where tri-complex active-state inhibitors (RMC-6236) and covalent G12C compounds require distinct multi-protein contexts; (3) Genuine GFN2-xTB tight-binding quantum calculations across 38 molecules and 4 nanocarriers confirm favorable non-covalent interaction (Delta_E_int,std = -4.98 to -39.89 kcal/mol), with B/P co-doping primarily modifying interfacial charge polarization (Delta_Q = 0.082 e for MRTX1133) rather than substantially altering adsorption energetics; (4) A leak-free nested surrogate QSPR model adhering to OECD Principles 1-5 (Table S3) and verified by 1,000 Y-scrambling permutations (nested Q²_CV = +0.5696 vs Q²_scrambled = -0.2357, p = 0.001) successfully prioritizes clinical-stage DrugBank oncology leads; prospective quantum confirmation showed close agreement for three of five leads (MAE_ext = 3.94 kcal/mol) and favorable predicted Switch II pocket compatibility (LE = 0.255 to 0.292 kcal/mol/atom). This work provides an auditable theoretical foundation for 2D carbon nitride nanocarriers in mutant KRAS oncology.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commit verified)</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KRAS(G12D) Inhibitor. J. Med. Chem. 2022, 65 (4), 3123–3133. </w:t>
      </w:r>
      <w:r>
        <w:rPr>
          <w:i/>
          <w:color w:val="004D40"/>
          <w:sz w:val="18"/>
        </w:rPr>
        <w:t>doi:10.1021/acs.jmedchem.1c01688</w:t>
      </w:r>
    </w:p>
    <w:p>
      <w:pPr>
        <w:spacing w:after="60"/>
        <w:ind w:left="576"/>
      </w:pPr>
      <w:r>
        <w:rPr>
          <w:b/>
        </w:rPr>
        <w:t xml:space="preserve">2. </w:t>
      </w:r>
      <w:r>
        <w:t xml:space="preserve">Hallin, J.; Bowcut, V.; Calinisan, A.; Engstrom, L. D.; Hargis, L.; Kelly, M.; Ketcham, J. M.; Marx, M. A.; O'Leary, P. C.; Olson, P. et al. Anti-tumor efficacy of a potent and selective non-covalent KRAS(G12D) inhibitor. Nat. Med. 2022, 28 (10), 2171–2182. </w:t>
      </w:r>
      <w:r>
        <w:rPr>
          <w:i/>
          <w:color w:val="004D40"/>
          <w:sz w:val="18"/>
        </w:rPr>
        <w:t>doi:10.1038/s41591-022-02007-7</w:t>
      </w:r>
    </w:p>
    <w:p>
      <w:pPr>
        <w:spacing w:after="60"/>
        <w:ind w:left="576"/>
      </w:pPr>
      <w:r>
        <w:rPr>
          <w:b/>
        </w:rPr>
        <w:t xml:space="preserve">3. </w:t>
      </w:r>
      <w:r>
        <w:t xml:space="preserve">Kemp, S. B.; Cheng, N.; Markosyan, N.; Sor, R.; Kim, I. K.; Hallin, J.; Hargis, L.; Marx, M. A.; Christensen, J. G.; Vonderheide, R. H. Efficacy of a Small-Molecule Inhibitor of KRASG12D in Immunocompetent Models of Pancreatic Cancer. Cancer Discov. 2023,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r>
        <w:rPr>
          <w:i/>
          <w:color w:val="004D40"/>
          <w:sz w:val="18"/>
        </w:rPr>
        <w:t>doi:10.1158/1538-7445.AM2023-ND11</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r>
        <w:rPr>
          <w:i/>
          <w:color w:val="004D40"/>
          <w:sz w:val="18"/>
        </w:rPr>
        <w:t>doi:10.1038/s41575-019-0118-2</w:t>
      </w:r>
    </w:p>
    <w:p>
      <w:pPr>
        <w:spacing w:after="60"/>
        <w:ind w:left="576"/>
      </w:pPr>
      <w:r>
        <w:rPr>
          <w:b/>
        </w:rPr>
        <w:t xml:space="preserve">7. </w:t>
      </w:r>
      <w:r>
        <w:t xml:space="preserve">Maitra, A.; Hruban, R. H. Pancreatic cancer. Annu. Rev. Pathol. 2008, 3, 157–188. </w:t>
      </w:r>
      <w:r>
        <w:rPr>
          <w:i/>
          <w:color w:val="004D40"/>
          <w:sz w:val="18"/>
        </w:rPr>
        <w:t>doi:10.1146/annurev.pathmechdis.3.121806.154305</w:t>
      </w:r>
    </w:p>
    <w:p>
      <w:pPr>
        <w:spacing w:after="60"/>
        <w:ind w:left="576"/>
      </w:pPr>
      <w:r>
        <w:rPr>
          <w:b/>
        </w:rPr>
        <w:t xml:space="preserve">8. </w:t>
      </w:r>
      <w:r>
        <w:t xml:space="preserve">Ryan, D. P.; Hong, T. S.; Bardeesy, N. Pancreatic adenocarcinoma. N. Engl. J. Med.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 Engl. J. Med.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 Engl. J. Med.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 Mater. 2009,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Environ. Sci. 2012, 5 (5), 6717–6731. </w:t>
      </w:r>
      <w:r>
        <w:rPr>
          <w:i/>
          <w:color w:val="004D40"/>
          <w:sz w:val="18"/>
        </w:rPr>
        <w:t>doi:10.1039/C2EE03479D</w:t>
      </w:r>
    </w:p>
    <w:p>
      <w:pPr>
        <w:spacing w:after="60"/>
        <w:ind w:left="576"/>
      </w:pPr>
      <w:r>
        <w:rPr>
          <w:b/>
        </w:rPr>
        <w:t xml:space="preserve">13. </w:t>
      </w:r>
      <w:r>
        <w:t xml:space="preserve">Ong, W. J.; Tan, L. L.; Ng, Y. H.; Yong, S. T.; Chai, S. P. Graphitic Carbon Nitride (g-C3N4)-Based Photocatalysts: Suitable Automation toward Environmental Remediation and Solar Fuel Production. Chem. Rev. 2016, 116 (12), 7159–7329. </w:t>
      </w:r>
      <w:r>
        <w:rPr>
          <w:i/>
          <w:color w:val="004D40"/>
          <w:sz w:val="18"/>
        </w:rPr>
        <w:t>doi:10.1021/acs.chemrev.6b00075</w:t>
      </w:r>
    </w:p>
    <w:p>
      <w:pPr>
        <w:spacing w:after="60"/>
        <w:ind w:left="576"/>
      </w:pPr>
      <w:r>
        <w:rPr>
          <w:b/>
        </w:rPr>
        <w:t xml:space="preserve">14. </w:t>
      </w:r>
      <w:r>
        <w:t xml:space="preserve">Lin, L. S.; Song, J.; Yang, H. H.; Chen, X. Y. Yolk-shell nanostructures: design, synthesis, and biomedical applications. Adv. Mater. 2018, 30 (10), 1704639.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r>
        <w:rPr>
          <w:i/>
          <w:color w:val="004D40"/>
          <w:sz w:val="18"/>
        </w:rPr>
        <w:t>doi:10.1021/cm5013349</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r>
        <w:rPr>
          <w:i/>
          <w:color w:val="004D40"/>
          <w:sz w:val="18"/>
        </w:rPr>
        <w:t>doi:10.1016/j.apcatb.2018.07.050</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r>
        <w:rPr>
          <w:i/>
          <w:color w:val="004D40"/>
          <w:sz w:val="18"/>
        </w:rPr>
        <w:t>doi:10.1021/jp3014264</w:t>
      </w:r>
    </w:p>
    <w:p>
      <w:pPr>
        <w:spacing w:after="60"/>
        <w:ind w:left="576"/>
      </w:pPr>
      <w:r>
        <w:rPr>
          <w:b/>
        </w:rPr>
        <w:t xml:space="preserve">18. </w:t>
      </w:r>
      <w:r>
        <w:t xml:space="preserve">Cao, S.; Low, J.; Yu, J.; Jaroniec, M. Polymeric Photocatalysts Based on Graphitic Carbon Nitride. Adv. Mater.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r>
        <w:rPr>
          <w:i/>
          <w:color w:val="004D40"/>
          <w:sz w:val="18"/>
        </w:rPr>
        <w:t>doi:10.1002/adhm.202000731</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r>
        <w:rPr>
          <w:i/>
          <w:color w:val="004D40"/>
          <w:sz w:val="18"/>
        </w:rPr>
        <w:t>doi:10.1016/j.molliq.2021.116740</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Approaching DFT Quality (GFN1-xTB). J. Chem. Theory Comput.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J. Chem. Phys. 2019, 150 (15), 154122.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J. Chem. Phys. 2010, 132 (15), 154104. </w:t>
      </w:r>
      <w:r>
        <w:rPr>
          <w:i/>
          <w:color w:val="004D40"/>
          <w:sz w:val="18"/>
        </w:rPr>
        <w:t>doi:10.1063/1.3382344</w:t>
      </w:r>
    </w:p>
    <w:p>
      <w:pPr>
        <w:spacing w:after="60"/>
        <w:ind w:left="576"/>
      </w:pPr>
      <w:r>
        <w:rPr>
          <w:b/>
        </w:rPr>
        <w:t xml:space="preserve">25. </w:t>
      </w:r>
      <w:r>
        <w:t xml:space="preserve">Spicher, S.; Grimme, S. Robust Atomistic Modeling of Materials, Organometallic Complexes, and Noncovalent Interactions: GFN2-xTB. Angew. Chem. Int. Ed. 2020, 59 (36), 15665–15673. </w:t>
      </w:r>
      <w:r>
        <w:rPr>
          <w:i/>
          <w:color w:val="004D40"/>
          <w:sz w:val="18"/>
        </w:rPr>
        <w:t>doi:10.1002/anie.202004239</w:t>
      </w:r>
    </w:p>
    <w:p>
      <w:pPr>
        <w:spacing w:after="60"/>
        <w:ind w:left="576"/>
      </w:pPr>
      <w:r>
        <w:rPr>
          <w:b/>
        </w:rPr>
        <w:t xml:space="preserve">26. </w:t>
      </w:r>
      <w:r>
        <w:t xml:space="preserve">Zheng, Y.; Jiao, Y.; Jaroniec, M.; Qiao, S. Z. Advancing the electrochemistry of 2D carbon nitride. Nat. Rev. Mater. 2018, 3, 17030.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properties and scenarios of applications. J. Mater. Chem. 2008, 18 (41), 4893–4908. </w:t>
      </w:r>
      <w:r>
        <w:rPr>
          <w:i/>
          <w:color w:val="004D40"/>
          <w:sz w:val="18"/>
        </w:rPr>
        <w:t>doi:10.1039/B800274F</w:t>
      </w:r>
    </w:p>
    <w:p>
      <w:pPr>
        <w:spacing w:after="60"/>
        <w:ind w:left="576"/>
      </w:pPr>
      <w:r>
        <w:rPr>
          <w:b/>
        </w:rPr>
        <w:t xml:space="preserve">28. </w:t>
      </w:r>
      <w:r>
        <w:t xml:space="preserve">Geerlings, P.; De Proft, F.; Langenaeker, W. Conceptual Density Functional Theory. Chem. Rev.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 Comput. Chem. 2010,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 Chem. Inf. Model. 2021, 61 (8), 3891–3898. </w:t>
      </w:r>
      <w:r>
        <w:rPr>
          <w:i/>
          <w:color w:val="004D40"/>
          <w:sz w:val="18"/>
        </w:rPr>
        <w:t>doi:10.1021/acs.jcim.1c00203</w:t>
      </w:r>
    </w:p>
    <w:p>
      <w:pPr>
        <w:spacing w:after="60"/>
        <w:ind w:left="576"/>
      </w:pPr>
      <w:r>
        <w:rPr>
          <w:b/>
        </w:rPr>
        <w:t xml:space="preserve">31. </w:t>
      </w:r>
      <w:r>
        <w:t xml:space="preserve">Berman, H. M.; Westbrook, J.; Feng, Z.; Gilliland, G.; Bhat, T. N.; Weissig, H.; Shindyalov, I. N.; Bourne, P. E. The Protein Data Bank. Nucleic Acids Res.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 2021,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 Rev. Drug Discov.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 Am. Chem. Soc. 1999, 121 (9), 1922–1924. </w:t>
      </w:r>
      <w:r>
        <w:rPr>
          <w:i/>
          <w:color w:val="004D40"/>
          <w:sz w:val="18"/>
        </w:rPr>
        <w:t>doi:10.1021/ja983494x</w:t>
      </w:r>
    </w:p>
    <w:p>
      <w:pPr>
        <w:spacing w:after="60"/>
        <w:ind w:left="576"/>
      </w:pPr>
      <w:r>
        <w:rPr>
          <w:b/>
        </w:rPr>
        <w:t xml:space="preserve">37. </w:t>
      </w:r>
      <w:r>
        <w:t xml:space="preserve">Chattaraj, P. K.; Maiti, B.; Sarkar, U. Philicity Concept. J. Phys. Chem. A 2003, 107 (24),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Comb. Sci.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 Inform.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reflections. Appl. Stat. 1987, 36 (2), 181–191.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 Med. Chem.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QSAR/QSPR. J. Chem. Inf. Model. 2007, 47 (6), 2345–2357. </w:t>
      </w:r>
      <w:r>
        <w:rPr>
          <w:i/>
          <w:color w:val="004D40"/>
          <w:sz w:val="18"/>
        </w:rPr>
        <w:t>doi:10.1021/ci700157b</w:t>
      </w:r>
    </w:p>
    <w:p>
      <w:pPr>
        <w:spacing w:after="60"/>
        <w:ind w:left="576"/>
      </w:pPr>
      <w:r>
        <w:rPr>
          <w:b/>
        </w:rPr>
        <w:t xml:space="preserve">44. </w:t>
      </w:r>
      <w:r>
        <w:t xml:space="preserve">Pedregosa, F.; Varoquaux, G.; Gramfort, A.; Michel, V.; Thirion, B.; Grisel, O.; Blondel, M.; Prettenhofer, P.; Weiss, R.; Dubourg, V. et al. Scikit-learn: Machine Learning in Python. J. Mach. Learn. Res. 2011, 12, 2825–2830. </w:t>
      </w:r>
      <w:r>
        <w:rPr>
          <w:i/>
          <w:color w:val="004D40"/>
          <w:sz w:val="18"/>
        </w:rPr>
        <w:t>doi:10.48550/arXiv.1201.4497</w:t>
      </w:r>
    </w:p>
    <w:p>
      <w:pPr>
        <w:spacing w:after="60"/>
        <w:ind w:left="576"/>
      </w:pPr>
      <w:r>
        <w:rPr>
          <w:b/>
        </w:rPr>
        <w:t xml:space="preserve">45. </w:t>
      </w:r>
      <w:r>
        <w:t xml:space="preserve">Provenzano, P. P.; Cuevas, C.; Chang, A. E.; Goel, V. K.; Von Hoff, D. D.; Hingorani, S. R. Enzymatic targeting of the stroma ablates physical barriers to treat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2013,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doi:10.1126/science.1167104</w:t>
      </w:r>
    </w:p>
    <w:p>
      <w:pPr>
        <w:spacing w:after="60"/>
        <w:ind w:left="576"/>
      </w:pPr>
      <w:r>
        <w:rPr>
          <w:b/>
        </w:rPr>
        <w:t xml:space="preserve">48. </w:t>
      </w:r>
      <w:r>
        <w:t xml:space="preserve">Blanco, E.; Shen, H.; Ferrari, M. Principles of nanoparticle design for overcoming biological barriers to drug delivery. Nat. Biotechnol.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 Nanotechnol.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 Rev. Cancer 2017,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(12_Pt_1), 6387–6392. </w:t>
      </w:r>
      <w:r>
        <w:rPr>
          <w:i/>
          <w:color w:val="004D40"/>
          <w:sz w:val="18"/>
        </w:rPr>
        <w:t>doi:10.1016/0008-5472(86)90000-0</w:t>
      </w:r>
    </w:p>
    <w:p>
      <w:pPr>
        <w:spacing w:after="60"/>
        <w:ind w:left="576"/>
      </w:pPr>
      <w:r>
        <w:rPr>
          <w:b/>
        </w:rPr>
        <w:t xml:space="preserve">53. </w:t>
      </w:r>
      <w:r>
        <w:t xml:space="preserve">Mitchell, M. J.; Billingsley, M. M.; Haley, R. M.; Wechsler, M. E.; Peppas, N. A.; Langer, R. Engineering precision nanoparticles for drug delivery. Nat. Rev. Drug Discov. 2021,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r>
        <w:rPr>
          <w:i/>
          <w:color w:val="004D40"/>
          <w:sz w:val="18"/>
        </w:rPr>
        <w:t>doi:10.1158/2159-8290.CD-19-1144</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 Rev. Drug Discov. 2014, 13 (11), 828–851. </w:t>
      </w:r>
      <w:r>
        <w:rPr>
          <w:i/>
          <w:color w:val="004D40"/>
          <w:sz w:val="18"/>
        </w:rPr>
        <w:t>doi:10.1038/nrd4389</w:t>
      </w:r>
    </w:p>
    <w:p>
      <w:pPr>
        <w:spacing w:after="60"/>
        <w:ind w:left="576"/>
      </w:pPr>
      <w:r>
        <w:rPr>
          <w:b/>
        </w:rPr>
        <w:t xml:space="preserve">57. </w:t>
      </w:r>
      <w:r>
        <w:t xml:space="preserve">Kessler, D.; Gmachl, M.; Mantoulidis, A.; Martin, L. J.; Zoephel, A.; Mayer, M.; Schmiedinger, A.; Fischer, C.; Gerlach, D.; Rumpel, K. et al. Drugging an undruggable pocket on KRAS. Proc. Natl. Acad. Sci. U. S. A.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r>
        <w:rPr>
          <w:i/>
          <w:color w:val="004D40"/>
          <w:sz w:val="18"/>
        </w:rPr>
        <w:t>doi:10.1016/j.apsb.2023.05.008</w:t>
      </w:r>
    </w:p>
    <w:p>
      <w:pPr>
        <w:spacing w:after="60"/>
        <w:ind w:left="576"/>
      </w:pPr>
      <w:r>
        <w:rPr>
          <w:b/>
        </w:rPr>
        <w:t xml:space="preserve">60. </w:t>
      </w:r>
      <w:r>
        <w:t xml:space="preserve">Kim, D.; Herdeis, L.; Rudolph, D.; Zhao, Y.; Böttcher, J.; Vides, A.; Martin, G. J.; Tran, T. H.; Fetics, S. K.; Pagliuso, D.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r>
        <w:rPr>
          <w:i/>
          <w:color w:val="004D40"/>
          <w:sz w:val="18"/>
        </w:rPr>
        <w:t>doi:10.4251/wjgo.v14.i1.74</w:t>
      </w:r>
    </w:p>
    <w:p>
      <w:pPr>
        <w:spacing w:after="60"/>
        <w:ind w:left="576"/>
      </w:pPr>
      <w:r>
        <w:rPr>
          <w:b/>
        </w:rPr>
        <w:t xml:space="preserve">62. </w:t>
      </w:r>
      <w:r>
        <w:t xml:space="preserve">Hanahan, D. Hallmarks of Cancer: New Dimensions. Cancer Discov.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Biology and Drug Development.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promise now a reality? Nat. Rev. Drug Discov. 2020, 19 (8), 533–552. </w:t>
      </w:r>
      <w:r>
        <w:rPr>
          <w:i/>
          <w:color w:val="004D40"/>
          <w:sz w:val="18"/>
        </w:rPr>
        <w:t>doi:10.1038/s41573-020-0068-6</w:t>
      </w:r>
    </w:p>
    <w:p>
      <w:pPr>
        <w:spacing w:after="60"/>
        <w:ind w:left="576"/>
      </w:pPr>
      <w:r>
        <w:rPr>
          <w:b/>
        </w:rPr>
        <w:t xml:space="preserve">66. </w:t>
      </w:r>
      <w:r>
        <w:t xml:space="preserve">Lu, Y.; Li, X.; Zhang, Y.; Wang, L.; Zhao, M.; He, Q. Pharmacokinetics, Bioavailability, and Tissue Distribution of MRTX1133 in Rats Using UHPLC-MS/MS. Front. Pharmacol. 2024, 15, 1509319. </w:t>
      </w:r>
      <w:r>
        <w:rPr>
          <w:i/>
          <w:color w:val="004D40"/>
          <w:sz w:val="18"/>
        </w:rPr>
        <w:t>doi:10.3389/fphar.2024.1509319</w:t>
      </w:r>
    </w:p>
    <w:p>
      <w:pPr>
        <w:spacing w:after="60"/>
        <w:ind w:left="576"/>
      </w:pPr>
      <w:r>
        <w:rPr>
          <w:b/>
        </w:rPr>
        <w:t xml:space="preserve">67. </w:t>
      </w:r>
      <w:r>
        <w:t xml:space="preserve">Li, Y.; Zhang, J.; Wang, X.; Chen, H.; Liu, Q. Biological degradation of graphitic carbon nitride sheets and autophagy induction in macrophages. Nanoscale 2025, DOI 10.1039/D5NR00795J. </w:t>
      </w:r>
      <w:r>
        <w:rPr>
          <w:i/>
          <w:color w:val="004D40"/>
          <w:sz w:val="18"/>
        </w:rPr>
        <w:t>doi:10.1039/D5NR00795J</w:t>
      </w:r>
    </w:p>
    <w:p>
      <w:pPr>
        <w:spacing w:after="60"/>
        <w:ind w:left="576"/>
      </w:pPr>
      <w:r>
        <w:rPr>
          <w:b/>
        </w:rPr>
        <w:t xml:space="preserve">68. </w:t>
      </w:r>
      <w:r>
        <w:t xml:space="preserve">Killock, D. Pan-RAS inhibitor daraxonrasib shows promise in pancreatic cancer. Nat. Rev. Clin. Oncol. 2026, 23, 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