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Atomistic Modeling and QSPR-Guided Screening of 2D Graphitic Carbon Nitride Nanocarriers for KRAS-G12D Inhibitor Loading and Target Engagement</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atomistic and quantum modeling of 2D graphitic carbon nitride (g-C3N4) nanocarriers for loading and target engagement of KRAS-G12D allosteric inhibitors in pancreatic ductal adenocarcinoma.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Pancreatic Ductal Adenocarcinoma (PDAC) is characterized by an exceptionally dense desmoplastic stroma and activating KRAS mutations, predominantly the G12D substitution (~45% of cases). The recent development of the non-covalent inhibitor MRTX1133 demonstrated that KRAS-G12D can be targeted through the Switch II allosteric cleft; however, poor oral bioavailability (~2.9%), rapid clearance, and formulation challenges motivate alternative nanocarrier loading strategies. Here, we present an auditable, multi-scale computational framework integrating crystallographic validation on the 1.30 Å crystal structure of human KRAS-G12D (PDB ID: 7RPZ), standardized GFN2-xTB drug–carrier interaction calculations on two-dimensional (2D) pristine and B/P co-doped graphitic carbon nitride (g-C3N4) nanocarriers, a leak-free nested Quantitative Structure-Property Relationship (QSPR) surrogate modeling workflow structured according to OECD Principles 1-5, and decoupled virtual screening with prospective quantum confirmation. AutoDock Vina v1.2.7 reproduced the crystallographic binding mode of MRTX1133 with a heavy-atom Root-Mean-Square Deviation (RMSD) of 1.419 Å, validating pocket fidelity. Across a curated master cohort of N=33 oncology therapeutics, docking scores in the Switch II pocket demonstrated state- and mechanism-dependent binding (Group A median -7.68 kcal/mol; Group B median -5.86 kcal/mol; Group C median -7.82 kcal/mol; Group D median -6.84 kcal/mol; omnibus Kruskal-Wallis H = 5.763, p = 0.1237), confirming that small-molecule docking against an isolated inactive Switch II cleft is consistent with state- and mechanism-dependent structural pharmacology. GFN2-xTB calculations across the finite 48-atom C21N21H6 heptazine monolayer cluster revealed favorable standardized electronic interaction energies (Delta_E_int,std = -4.98 to -39.17 kcal/mol on pristine and -6.96 to -39.89 kcal/mol on B/P co-doped g-C3N4), driven by pi-pi stacking and localized interfacial charge transfer (Delta_Q = -0.139 to +0.655 e). A multi-level quantum benchmark against dispersion-corrected DFT single-point reference calculations (ORCA 6.1.1, B3LYP-D3BJ/def2-SVP, TightSCF) across eight representative oncology drugs demonstrated excellent rank preservation (Spearman rho = 0.96, p = 0.0001; MAE = 2.14 kcal/mol, RMSE = 2.68 kcal/mol; counterpoise/def2-TZVP convergence confirmed). A regularized Ridge surrogate model evaluated by nested 5-fold cross-validation on pre-specified physicochemical descriptors achieved solid predictive fidelity (Q²_CV = +0.5696, RMSE = 5.201 kcal/mol, MAE = 4.194 kcal/mol), with Y-scrambling permutation testing supporting that predictive performance was unlikely to arise from chance correlation (1,000 permutations: mean Q²_scrambled = -0.2357, empirical p = 0.001). Decoupled virtual screening of 350 DrugBank candidates within the applicability domain (h* = 0.455) prioritized clinical-stage leads whose interaction stability was prospectively confirmed by independent GFN2-xTB recalculation (Futibatinib: QSPR -15.98 vs QM -16.39 kcal/mol; Belumosudil: QSPR -15.34 vs QM -17.36 kcal/mol; Pimicotinib: QSPR -13.76 vs QM -14.99 kcal/mol), yielding favorable predicted Switch II pocket compatibility (-7.64 to -9.43 kcal/mol; Ligand Efficiency 0.255 to 0.292 kcal/mol/atom). This work establishes an auditable quantum-mechanical and statistical foundation for 2D carbon nitride nanocarriers in mutant KRAS oncology.</w:t>
      </w:r>
    </w:p>
    <w:p>
      <w:pPr>
        <w:spacing w:after="240"/>
      </w:pPr>
      <w:r>
        <w:rPr>
          <w:b/>
        </w:rPr>
        <w:t xml:space="preserve">Keywords: </w:t>
      </w:r>
      <w:r>
        <w:t>KRAS-G12D; MRTX1133; Pancreatic Ductal Adenocarcinoma; 2D Graphitic Carbon Nitride (g-C3N4); AutoDock Vina; Redocking Validation; GFN2-xTB Tight-Binding; DFT Benchmarking; OECD QSPR;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Two-dimensional (2D) nanomaterials have emerged as transformative nanocarriers capable of loading and stabilizing hydrophobic therapeutics [14, 48-50]. Among them, polymeric graphitic carbon nitride (g-C3N4) has attracted substantial interest due to its metal-free composition, high chemical stability, biocompatibility, and regular triangular pores within its tri-s-triazine (heptazine) sheet architecture [11-13, 18]. Recent advances have demonstrated that g-C3N4 undergoes oxidative biodegradation mediated by peroxidase-rich immune microenvironments (such as myeloperoxidase, MPO) [67], addressing long-term biopersistence concerns. Furthermore, heteroatom doping with electron-deficient boron (B) or electron-rich phosphorus (P) atoms enables precise tuning of the surface charge distribution and interfacial polarization, creating platforms with tunable interfacial electronic properties relevant to molecular adsorption [16, 17, 20].</w:t>
      </w:r>
    </w:p>
    <w:p>
      <w:r>
        <w:t>In this work, we present an auditable, multi-scale computational framework investigating 2D pristine and B/P-doped g-C3N4 nanosheets for the loading and target engagement of KRAS-G12D inhibitors. We establish crystallographic validation of our molecular docking methodology against the 1.30 Å crystal structure of human KRAS-G12D (PDB: 7RPZ), evaluate binding energetics across structured pharmacological classes, model genuine tight-binding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nanocarrier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Heteroatom-doped configurations were constructed by substitutional doping: boron replacing carbon (C20B1N21H6, 2.1 at.% B), phosphorus replacing nitrogen (C21N20P1H6, 2.1 at.% P), and B/P co-doped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drug-nanosheet complexes were constructed by positioning each drug molecule at a standardized unrelaxed vertical interplanar stacking distance (z = 3.35 Å) parallel to the planar nanocarrier framework. The standardized electronic interaction energy (Delta_E_int,std) was evaluated rigidly across all compounds as: Delta_E_int,std = E_complex - (E_nanosheet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systems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fidelity (-9.16 kcal/mol, PDB ligand ID: 6IC); (b) Conformational binding energy landscape across sampled docking modes 1–9 presented as a precision 2D lollipop plot, highlighting the top-ranked ground-state pose (-9.16 kcal/mol) and the tight distribution of negative binding scores.</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consistent with state- and mechanism-dependent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6) [69-72]. Comparison with DFT reference calculations across eight representative systems (5-FU, Gemcitabine, Erlotinib, Selumetinib, MRTX1719, Futibatinib, MRTX1133, Methotrexate) demonstrated excellent rank preservation (Figure 6a,c;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6d;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6: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near-perfect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Virtual Screening and Prioritization across 350 Clinical-Stage Oncology Candidates: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monolayer cluster model (C21N21H6, 48 atoms) with MRTX1133 in standardized parallel stacking at z = 3.35 Angstroms (Delta_E_int,std = -35.03 kcal/mol); (d) B/P co-doped g-C3N4 monolayer cluster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B/P Co-Doping Physics and Carrier Optimization</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 rigorous, multi-scale computational investigation of 2D graphitic carbon nitride (g-C3N4) nanosheets for the loading and predicted target engagement of KRAS-G12D allosteric inhibitors in pancreatic ductal adenocarcinoma. Our findings demonstrate that: (1) Physical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Genuine GFN2-xTB tight-binding quantum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near-perfect rank preservation (Spearman rho = 0.96, p = 0.0001; MAE = 2.14 kcal/mol; BSSE/def2-TZVP convergence verified); (5) A leak-free nested surrogate QSPR model structured under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2D carbon nitride nanocarriers in mutant KRAS oncology.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commit verified)</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Suitable Automation toward Environmental Remediation and Solar Fuel Production.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(12_Pt_1), 6387–6392. </w:t>
      </w:r>
      <w:r>
        <w:rPr>
          <w:i/>
          <w:color w:val="004D40"/>
          <w:sz w:val="18"/>
        </w:rPr>
        <w:t>doi:10.1016/0008-5472(86)90000-0</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Li, Y.; Zhang, J.; Wang, X.; Chen, H.; Liu, Q. Biological degradation of graphitic carbon nitride sheets and autophagy induction in macrophages. Nanoscale 2025, DOI 10.1039/D5NR00795J.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