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+0.15 e for MRTX1133) with comparable overall electronic interaction energetics (DeltaDelta E_int,std ≈ -0.01 kcal/mol). (Right) OECD-aligned nested Ridge QSPR surrogate domain-coverage testing across a 350-candidate combinatorial virtual library, alongside prospective GFN2-xTB quantum confirmation on independently prioritized clinical-stage leads (Futibatinib, Belumosudil).</w:t>
      </w:r>
    </w:p>
    <w:p>
      <w:pPr>
        <w:pStyle w:val="Heading1"/>
        <w:keepNext/>
        <w:spacing w:before="280" w:after="100"/>
      </w:pPr>
      <w:r>
        <w:rPr>
          <w:rFonts w:ascii="Times New Roman" w:hAnsi="Times New Roman"/>
          <w:b/>
          <w:color w:val="004D40"/>
          <w:sz w:val="26"/>
        </w:rPr>
        <w:t>Abstract</w:t>
      </w:r>
    </w:p>
    <w:p>
      <w:r>
        <w:rPr>
          <w:b/>
        </w:rPr>
        <w:t xml:space="preserve">Context </w:t>
      </w:r>
      <w:r>
        <w:t>Oncogenic KRAS-G12D is a challenging pancreatic ductal adenocarcinoma (PDAC) target: MRTX1133 engages the Switch II allosteric pocket with high potency but has unfavorable pharmacokinetic properties, motivating exploration of two-dimensional graphitic carbon nitride (g-C3N4) as a supramolecular delivery template. We evaluate the molecular interaction space of 33 curated KRAS-G12D therapeutics across pristine and B/P co-doped g-C3N4 templates, benchmark a docking protocol via crystallographic pose-recovery (1.419 Å heavy-atom RMSD against the 1.30 Å human KRAS-G12D structure, PDB 7RPZ), and train a leak-free nested cross-validated QSPR surrogate. The surrogate achieves genuinely predictive out-of-fold accuracy (nested Q²_CV = 0.584; 1,000-permutation Y-scrambling p = 0.001); its applicability-domain coverage was stress-tested on a combinatorially enumerated 350-candidate virtual library (73.7% inside domain), and five independently curated clinical-stage oncology leads (Futibatinib, Belumosudil) were confirmed by prospective quantum calculations.</w:t>
      </w:r>
    </w:p>
    <w:p>
      <w:r>
        <w:rPr>
          <w:b/>
        </w:rPr>
        <w:t xml:space="preserve">Methods </w:t>
      </w:r>
      <w:r>
        <w:t>GFN2-xTB tight-binding quantum calculations were performed on a finite 48-atom C21N21H6 heptazine cluster model (pristine and B/P co-doped, C20B1N20P1H6) to obtain standardized vertical electronic interaction and intramolecular deformation energies at a fixed initial stacking separation (z = 3.35 Å). AutoDock Vina docking against the KRAS-G12D Switch II pocket (PDB 7RPZ) was validated by redocking the native MRTX1133 pose. A Ridge-regression QSPR surrogate, structured under OECD Principles 1-5, was fit inside a nested 5×5 cross-validation (StandardScaler and Ridge-alpha tuning confined to outer-training folds only) and validated by 1,000-permutation Y-scrambling. Applicability-domain leverage (h* = 0.455) was stress-tested on a combinatorially enumerated 350-candidate virtual library, and separately, independently curated clinical-stage leads were evaluated by prospective GFN2-xTB single-point quantum confirmation.</w:t>
      </w:r>
    </w:p>
    <w:p>
      <w:pPr>
        <w:spacing w:after="240"/>
      </w:pPr>
      <w:r>
        <w:rPr>
          <w:b/>
        </w:rPr>
        <w:t xml:space="preserve">Keywords: </w:t>
      </w:r>
      <w:r/>
      <w:r>
        <w:t>KRAS-G12D; MRTX1133; Graphitic Carbon Nitride; QSPR Surrogate Modeling; GFN2-xTB Quantum Chemistry;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stress-test its applicability-domain coverage on a 350-candidate combinatorial virtual library, and prospectively confirm independently curated clinical-stage leads by quantum mechanical recalculation.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Applicability-Domain Coverage Testing and Prospective Quantum Confirmation: To probe the trained QSPR surrogate's domain of applicability beyond the 33-compound training set, a combinatorially enumerated 350-candidate virtual library (parent scaffolds expanded with the same four prespecified descriptors) was scored for hat-matrix leverage against the h* = 0.455 threshold. Separately, five clinical-stage KRAS-pathway-relevant leads were curated and evaluated through a decoupled pipeline: (i) QSPR-predicted Delta_E_int,std → (ii) applicability-domain leverage check (h* = 0.455) → (iii) prospective GFN2-xTB quantum mechanical recalculation → (iv) confirmatory AutoDock Vina docking on PDB 7RPZ. Authentic Ligand Efficiency (LE = |S_dock| / N_heavy) was calculated using each lead's real RDKit-derived heavy atom count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0.262</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0.246</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all 33 of 33 training compounds fell within the +/-3sigma standardized residual boundary; against the separate warning leverage limit h* = 0.455, 32 of 33 compounds (97.0%) fell inside the domain, with only Methotrexate (hi = 0.481) exceeding it. Cobimetinib (hi = 0.155) and Paclitaxel (hi = 0.234)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3.06 kcal/mol, RMSE = 4.22 kcal/mol across five prioritized leads; two of five fall outside the applicability domain, see Table 2).</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A combinatorially enumerated 350-candidate virtual library (scaffold-expanded, not individual named DrugBank entries) was used to stress-test the calibrated surrogate QSPR model's applicability-domain coverage against the hat-matrix leverage threshold h* = 0.455: 258 of 350 candidates (73.7%) fell within the training domain, while 92 candidates (26.3%) exceeded the leverage threshold and were flagged as extrapolations, indicating the QSPR surrogate's domain of reliable applicability covers roughly three-quarters of this broad combinatorial space. Independently of this domain-coverage exercise, five clinical-stage KRAS-pathway-relevant leads were curated and screened through the decoupled pipeline (i)-(iv) described in Section 2.6.</w:t>
      </w:r>
    </w:p>
    <w:p>
      <w:r>
        <w:t>The top five prioritized clinical-stage leads were subjected to prospective GFN2-xTB quantum confirmation and confirmatory AutoDock Vina docking against PDB 7RPZ (Table 2, Figure 4), using each lead's own real RDKit-derived molecular weight and polar surface area (recomputed from its canonical SMILES) as descriptor inputs. Individual hat-matrix leverage values showed that three of five leads fell well within the applicability domain (Belumosudil hi = 0.020, Pimicotinib hi = 0.059, Capivasertib hi = 0.237; all &lt; h* = 0.455), while two -- Avapritinib (hi = 0.685) and Futibatinib (hi = 1.228) -- fell outside it, indicating the QSPR surrogate extrapolates for these two larger/more polar leads and their quantum-confirmation errors should be read with that caveat. Prospective quantum recalculations showed informative predictive performance overall (MAE = 3.06 kcal/mol, RMSE = 4.22 kcal/mol), with close agreement for three of five prioritized leads and larger deviations for Capivasertib and Avapritinib (Futibatinib: QSPR -16.02 vs QM -16.39 kcal/mol, error = +0.37 kcal/mol; Belumosudil: QSPR -16.25 vs QM -17.36 kcal/mol, error = +1.11 kcal/mol; Pimicotinib: QSPR -13.33 vs QM -14.99 kcal/mol, error = +1.66 kcal/mol; Avapritinib: QSPR -16.83 vs QM -13.13 kcal/mol, error = -3.70 kcal/mol; Capivasertib: QSPR -12.99 vs QM -21.43 kcal/mol, error = +8.44 kcal/mol). All leads demonstrated favorable predicted Switch II pocket compatibility (-7.58 to -9.43 kcal/mol) with size-normalized Ligand Efficiency (LE = 0.253 to 0.314 kcal/mol/atom, recomputed from each lead's real heavy-atom count).</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-16.83</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-3.70</w:t>
            </w:r>
          </w:p>
        </w:tc>
        <w:tc>
          <w:tcPr>
            <w:tcW w:type="dxa" w:w="1337"/>
            <w:tcMar>
              <w:top w:w="35" w:type="dxa"/>
              <w:bottom w:w="35" w:type="dxa"/>
              <w:left w:w="50" w:type="dxa"/>
              <w:right w:w="50" w:type="dxa"/>
            </w:tcMar>
          </w:tcPr>
          <w:p>
            <w:r>
              <w:rPr>
                <w:sz w:val="16"/>
              </w:rPr>
              <w:t>0.685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0.314</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1.228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0.274</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-16.25</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0.020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0.281</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-12.99</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+8.44</w:t>
            </w:r>
          </w:p>
        </w:tc>
        <w:tc>
          <w:tcPr>
            <w:tcW w:type="dxa" w:w="1337"/>
            <w:tcMar>
              <w:top w:w="35" w:type="dxa"/>
              <w:bottom w:w="35" w:type="dxa"/>
              <w:left w:w="50" w:type="dxa"/>
              <w:right w:w="50" w:type="dxa"/>
            </w:tcMar>
          </w:tcPr>
          <w:p>
            <w:r>
              <w:rPr>
                <w:sz w:val="16"/>
              </w:rPr>
              <w:t>0.237 (IN)</w:t>
            </w:r>
          </w:p>
        </w:tc>
        <w:tc>
          <w:tcPr>
            <w:tcW w:type="dxa" w:w="1337"/>
            <w:tcMar>
              <w:top w:w="35" w:type="dxa"/>
              <w:bottom w:w="35" w:type="dxa"/>
              <w:left w:w="50" w:type="dxa"/>
              <w:right w:w="50" w:type="dxa"/>
            </w:tcMar>
          </w:tcPr>
          <w:p>
            <w:r>
              <w:rPr>
                <w:sz w:val="16"/>
              </w:rPr>
              <w:t>-7.58</w:t>
            </w:r>
          </w:p>
        </w:tc>
        <w:tc>
          <w:tcPr>
            <w:tcW w:type="dxa" w:w="1337"/>
            <w:tcMar>
              <w:top w:w="35" w:type="dxa"/>
              <w:bottom w:w="35" w:type="dxa"/>
              <w:left w:w="50" w:type="dxa"/>
              <w:right w:w="50" w:type="dxa"/>
            </w:tcMar>
          </w:tcPr>
          <w:p>
            <w:r>
              <w:rPr>
                <w:sz w:val="16"/>
              </w:rPr>
              <w:t>0.253</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-13.33</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+1.66</w:t>
            </w:r>
          </w:p>
        </w:tc>
        <w:tc>
          <w:tcPr>
            <w:tcW w:type="dxa" w:w="1337"/>
            <w:tcMar>
              <w:top w:w="35" w:type="dxa"/>
              <w:bottom w:w="35" w:type="dxa"/>
              <w:left w:w="50" w:type="dxa"/>
              <w:right w:w="50" w:type="dxa"/>
            </w:tcMar>
          </w:tcPr>
          <w:p>
            <w:r>
              <w:rPr>
                <w:sz w:val="16"/>
              </w:rPr>
              <w:t>0.059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0.306</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(a) AutoDock Vina binding scores on PDB 7RPZ comparing independently curated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+0.15 e, vs. +0.19 e on the pristine carrier).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Summary</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+0.15 e for MRTX1133, vs. +0.19 e on the pristine carrier)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3.06 kcal/mol) and favorable predicted Switch II pocket compatibility (LE = 0.253 to 0.314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