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achieved robust out-of-fold predictive accuracy (nested Q²_CV = +0.5696, fold Q² range: 0.485-0.652; RMSE = 5.201 kcal/mol, MAE = 4.194 kcal/mol), with Y-scrambling permutation testing supporting that predictive performance was unlikely to arise from chance correlation (1,000 permutations: mean Q²_scrambled = -0.2357, empirical p = 0.001). Decoupled virtual screening of 350 DrugBank oncology candidates within the applicability domain (h* = 0.455) prioritized clinical-stage leads whose interaction stability was evaluated via prospective GFN2-xTB quantum confirmation (MAE = 3.94 kcal/mol, RMSE = 5.28 kcal/mol; Futibatinib: error +0.41 kcal/mol; Belumosudil: error +2.02 kcal/mol; Pimicotinib: error +1.23 kcal/mol; Avapritinib: +6.36 kcal/mol; Capivasertib: +9.66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nested Q²_CV = +0.5696 (individual fold Q² values: Fold 1 = 0.582, Fold 2 = 0.652, Fold 3 = 0.485, Fold 4 = 0.531, Fold 5 = 0.598; mean Q² = 0.5696 +/- 0.068), RMSE = 5.201 kcal/mol (95% bootstrap CI: [3.98, 6.45]), and MAE = 4.194 kcal/mol (95% bootstrap CI: [3.12, 5.28]) (Figure 4a). Y-scrambling permutation testing across 1,000 iterations yielded a mean scrambled Q² of -0.2357 (Figure 4c), with an empirical permutation p-value of 0.001 (p =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 = 3.94 kcal/mol, RMSE = 5.28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3.94 kcal/mol, RMSE = 5.28 kcal/mol),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informative predictive performance (MAE = 3.94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