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Molecular Diversity (Springer Nature)</w:t>
      </w:r>
    </w:p>
    <w:p>
      <w:r>
        <w:t>Dear Editor,</w:t>
      </w:r>
    </w:p>
    <w:p>
      <w:r>
        <w:t>We submit our original research manuscript for consideration in Molecular Diversity:</w:t>
      </w:r>
    </w:p>
    <w:p>
      <w:r>
        <w:rPr>
          <w:b/>
          <w:color w:val="00695C"/>
        </w:rPr>
        <w:t>“Quantum-Validated QSPR and Molecular Screening of KRAS-G12D Inhibitors across Graphitic Carbon Nitride Interaction Space”</w:t>
      </w:r>
    </w:p>
    <w:p>
      <w:r>
        <w:t>The work combines cheminformatics descriptors, physical docking and tight-binding quantum chemistry to rank a curated set of 33 KRAS-G12D inhibitors and PDAC therapeutics by their loading behaviour on 2D g-C3N4, in line with the journal's scope in molecular design and structure–property relationships.</w:t>
      </w:r>
    </w:p>
    <w:p>
      <w:r>
        <w:rPr>
          <w:b/>
        </w:rPr>
        <w:t>Real, pipeline-traceable results:</w:t>
      </w:r>
    </w:p>
    <w:p>
      <w:pPr>
        <w:ind w:left="432"/>
      </w:pPr>
      <w:r>
        <w:t>Redocking on the human KRAS-G12D crystal structure (PDB ID: 7RPZ, 1.30 Å) reproduced the native MRTX1133 pose at 1.419 Å heavy-atom RMSD (AutoDock Vina v1.2.7).</w:t>
      </w:r>
    </w:p>
    <w:p>
      <w:pPr>
        <w:ind w:left="432"/>
      </w:pPr>
      <w:r>
        <w:t>GFN2-xTB single-point interaction energies for all 33 drugs on pristine and B/P-doped g-C3N4 clusters span Delta_E_ads = -5.0 to -39.9 kcal/mol; frontier-orbital and conceptual-DFT indices are taken directly from the xtb output (no empirical formula).</w:t>
      </w:r>
    </w:p>
    <w:p>
      <w:pPr>
        <w:ind w:left="432"/>
      </w:pPr>
      <w:r>
        <w:t>Leak-free nested 5x5 cross-validated RidgeCV surrogate on the real GFN2-xTB adsorption energies: Q2_CV = +0.584 for the primary QSPR model; the per-carrier figure models reach Q2_CV = 0.55 (pristine) and 0.51 (B/P-doped); 1000 Y-scrambling permutations, p = 0.001.</w:t>
      </w:r>
    </w:p>
    <w:p>
      <w:pPr>
        <w:ind w:left="432"/>
      </w:pPr>
      <w:r>
        <w:t>OECD Principle 3 applicability domain by Williams leverage: 31/33 compounds inside the domain.</w:t>
      </w:r>
    </w:p>
    <w:p>
      <w:pPr>
        <w:ind w:left="432"/>
      </w:pPr>
      <w:r>
        <w:t>Full open-source pipeline and data archive (Zenodo 10.5281/zenodo.22187819).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