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r>
        <w:rPr>
          <w:rFonts w:ascii="Times New Roman" w:hAnsi="Times New Roman"/>
          <w:b/>
          <w:color w:val="004D40"/>
          <w:sz w:val="33"/>
        </w:rPr>
        <w:t>Quantum-Validated QSPR and Molecular Screening of KRAS-G12D Inhibitors across Graphitic Carbon Nitride Interaction Space</w:t>
      </w:r>
    </w:p>
    <w:p>
      <w:pPr>
        <w:spacing w:after="80"/>
      </w:pPr>
      <w:r>
        <w:rPr>
          <w:b/>
          <w:sz w:val="22"/>
        </w:rPr>
        <w:t>Andrés Monreal Hernández1*, Sara Lizbeth Franco Amaya2, and Carlos Ivanhoe Martínez Osorio3</w:t>
      </w:r>
    </w:p>
    <w:p>
      <w:pPr>
        <w:spacing w:after="240" w:line="264" w:lineRule="auto"/>
      </w:pPr>
      <w:r>
        <w:rPr>
          <w:i/>
          <w:color w:val="505050"/>
          <w:sz w:val="19"/>
        </w:rPr>
        <w:t>1 Universidad Estatal de Sonora, Ley Federal del Trabajo S/N, Col. Apolo, C.P. 83100, Hermosillo, Sonora, Mexico.</w:t>
        <w:br/>
        <w:t>2 Posgrado en Nanotecnología, Departamento de Física, Universidad de Sonora, Blvd. Luis Encinas y Rosales, C.P. 83000, Hermosillo, Sonora, Mexico.</w:t>
        <w:br/>
        <w:t>3 Posgrado en Ciencia de Materiales, Departamento de Investigación en Polímeros y Materiales, Universidad de Sonora, C.P. 83000, Hermosillo, Sonora, Mexico.</w:t>
        <w:br/>
        <w:t>*Corresponding Author: andres.monreal@ues.mx</w:t>
      </w:r>
    </w:p>
    <w:p>
      <w:pPr>
        <w:pStyle w:val="Heading1"/>
        <w:keepNext/>
        <w:spacing w:before="280" w:after="100"/>
      </w:pPr>
      <w:r>
        <w:rPr>
          <w:rFonts w:ascii="Times New Roman" w:hAnsi="Times New Roman"/>
          <w:b/>
          <w:color w:val="004D40"/>
          <w:sz w:val="26"/>
        </w:rPr>
        <w:t>Graphical Abstract</w:t>
      </w:r>
    </w:p>
    <w:p>
      <w:pPr>
        <w:spacing w:before="16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_graphical_abstract_final.jpg"/>
                    <pic:cNvPicPr/>
                  </pic:nvPicPr>
                  <pic:blipFill>
                    <a:blip r:embed="rId9"/>
                    <a:stretch>
                      <a:fillRect/>
                    </a:stretch>
                  </pic:blipFill>
                  <pic:spPr>
                    <a:xfrm>
                      <a:off x="0" y="0"/>
                      <a:ext cx="5669280" cy="3164249"/>
                    </a:xfrm>
                    <a:prstGeom prst="rect"/>
                  </pic:spPr>
                </pic:pic>
              </a:graphicData>
            </a:graphic>
          </wp:inline>
        </w:drawing>
      </w:r>
    </w:p>
    <w:p>
      <w:pPr>
        <w:spacing w:after="200" w:line="276" w:lineRule="auto"/>
      </w:pPr>
      <w:r>
        <w:rPr>
          <w:b/>
          <w:color w:val="004D40"/>
          <w:sz w:val="18"/>
        </w:rPr>
        <w:t xml:space="preserve">Graphical Abstract: </w:t>
      </w:r>
      <w:r>
        <w:rPr>
          <w:i/>
          <w:sz w:val="18"/>
        </w:rPr>
        <w:t xml:space="preserve"> Multi-scale computational framework integrating quantum chemistry, OECD-aligned QSPR surrogate modeling, and virtual screening for KRAS-G12D inhibitor prioritization. (Left) Oncogenic KRAS-G12D target engagement in the Switch II allosteric pocket with key coordinating residues (Asp12 ionic salt-bridge, Tyr96 pi-stacking). (Center) Quantum electronic interaction modeling on the finite 48-atom C21N21H6 heptazine cluster model (Pristine: C21N21H6; B/P co-doped: C20B1N20P1H6); B/P co-doping induces localized interfacial charge redistribution (Delta_Q = +0.15 e for MRTX1133) with comparable overall electronic interaction energetics (DeltaDelta E_int,std ≈ -0.01 kcal/mol). (Right) OECD-aligned nested Ridge QSPR surrogate screening across 350 oncology compounds with prospective GFN2-xTB quantum confirmation on prioritized clinical-stage leads (Futibatinib, Belumosudil).</w:t>
      </w:r>
    </w:p>
    <w:p>
      <w:pPr>
        <w:pStyle w:val="Heading1"/>
        <w:keepNext/>
        <w:spacing w:before="280" w:after="100"/>
      </w:pPr>
      <w:r>
        <w:rPr>
          <w:rFonts w:ascii="Times New Roman" w:hAnsi="Times New Roman"/>
          <w:b/>
          <w:color w:val="004D40"/>
          <w:sz w:val="26"/>
        </w:rPr>
        <w:t>Abstract</w:t>
      </w:r>
    </w:p>
    <w:p>
      <w:r>
        <w:t>Direct pharmacological inhibition of oncogenic KRAS-G12D represents a paramount objective in precision oncology, particularly for pancreatic ductal adenocarcinoma (PDAC). While recent non-covalent inhibitors such as MRTX1133 engage the Switch II allosteric cleft with high potency, unfavorable pharmacokinetic properties motivate alternative supramolecular delivery and loading strategies. Here, we report an integrated computational chemistry, cheminformatics, and molecular screening framework that evaluates the molecular interaction space of KRAS-G12D therapeutics across 2D graphitic carbon nitride (g-C3N4) interaction templates. High-resolution crystallographic validation on human KRAS-G12D (PDB ID: 7RPZ, 1.30 Å) reproduced the native MRTX1133 binding pose with 1.419 Å heavy-atom Root-Mean-Square Deviation (RMSD), providing pose-recovery validation of the docking protocol. Across a curated cohort of N=33 diverse oncology therapeutics, Switch II pocket docking revealed descriptive differences consistent with state- and mechanism-dependent structural pharmacology (Group A median -7.68 kcal/mol; Group B median -5.86 kcal/mol; Group C median -7.82 kcal/mol; Group D median -6.84 kcal/mol; omnibus Kruskal-Wallis H = 5.763, p = 0.1237). Standardized GFN2-xTB tight-binding quantum calculations across the finite 48-atom C21N21H6 planar cluster model yielded favorable intermolecular electronic interaction energies (Delta_E_int,std = -4.98 to -39.89 kcal/mol across pristine and B/P substituted templates at a standardized initial stacking separation z = 3.35 Å), governed by pi-pi stacking and localized interfacial charge transfer. Importantly, we show that Delta_E_int,std represents a standardized vertical electronic interaction descriptor, which is offset by intramolecular conformational deformation (Delta_E_def = +34.65 kcal/mol for MRTX1133), yielding a net relaxed adsorption energy Delta_E_ads,rel ≈ -0.38 kcal/mol. A regularized Ridge surrogate QSPR model structured under OECD Principles 1-5, evaluated by a fully leak-free nested 5x5 cross-validation (StandardScaler fit inside the pipeline on outer-training folds only; Ridge alpha tuned by inner cross-validation), achieved robust out-of-fold predictive accuracy (nested Q²_CV = +0.584, per-fold Q² range: 0.05-0.78; RMSE = 5.11 kcal/mol, MAE = 4.33 kcal/mol), with Y-scrambling permutation testing supporting that predictive performance was unlikely to arise from chance correlation (1,000 permutations: mean Q²_scrambled = -0.12, empirical p = 0.001). Decoupled virtual screening of 350 DrugBank oncology candidates within the applicability domain (h* = 0.455) prioritized clinical-stage leads whose interaction stability was evaluated via prospective GFN2-xTB quantum confirmation (MAE = 3.82 kcal/mol, RMSE = 5.16 kcal/mol; Futibatinib: error +0.37 kcal/mol; Belumosudil: error +1.93 kcal/mol; Pimicotinib: error +1.11 kcal/mol; Avapritinib: -6.27 kcal/mol; Capivasertib: +9.42 kcal/mol), yielding favorable predicted Switch II pocket compatibility (-7.64 to -9.43 kcal/mol; Ligand Efficiency 0.255 to 0.292 kcal/mol/atom). This study establishes a rigorous computational cheminformatics and quantum chemical foundation for exploring molecular diversity in mutant KRAS drug discovery.</w:t>
      </w:r>
    </w:p>
    <w:p>
      <w:pPr>
        <w:spacing w:after="240"/>
      </w:pPr>
      <w:r>
        <w:rPr>
          <w:b/>
        </w:rPr>
        <w:t xml:space="preserve">Keywords: </w:t>
      </w:r>
      <w:r>
        <w:t>KRAS-G12D; MRTX1133; Graphitic Carbon Nitride; QSPR Surrogate Modeling; GFN2-xTB Quantum Chemistry; Virtual Screening; Supramolecular Interaction.</w:t>
      </w:r>
    </w:p>
    <w:p>
      <w:pPr>
        <w:pStyle w:val="Heading1"/>
        <w:keepNext/>
        <w:spacing w:before="280" w:after="100"/>
      </w:pPr>
      <w:r>
        <w:rPr>
          <w:rFonts w:ascii="Times New Roman" w:hAnsi="Times New Roman"/>
          <w:b/>
          <w:color w:val="004D40"/>
          <w:sz w:val="26"/>
        </w:rPr>
        <w:t>1. Introduction</w:t>
      </w:r>
    </w:p>
    <w:p>
      <w:r>
        <w:t>Pancreatic Ductal Adenocarcinoma (PDAC) represents one of the most lethal oncological challenges worldwide, projected to become the second leading cause of cancer-related mortality before 2030 [1-3, 62-65]. Over 90% of PDAC tumors harbor activating point mutations in the KRAS oncogene, predominantly located at codon 12, where the substitution of glycine by aspartate (KRAS-G12D) accounts for approximately 45% of all patient cases [1, 4, 64]. The G12D mutation severely impairs intrinsic GTP hydrolysis and renders the GTPase insensitive to GTPase-activating proteins (GAPs), locking KRAS in a constitutively active GTP-bound conformational state that drives downstream proliferative and survival cascades through RAF-MEK-ERK and PI3K-AKT signaling networks [6-8, 64].</w:t>
      </w:r>
    </w:p>
    <w:p>
      <w:r>
        <w:t>For more than four decades, KRAS was widely deemed an 'undruggable' target due to its picomolar affinity for GTP/GDP and the apparent lack of deep, hydrophobic small-molecule binding pockets on its surface [55-58]. However, the groundbreaking discovery of the Switch II allosteric cleft by Ostrem and Shokat in 2013 opened the door for direct KRAS inhibition [55]. While covalent inhibitors targeting KRAS-G12C (such as Sotorasib and Adagrasib) rapidly achieved regulatory approval in non-small cell lung cancer [4, 54, 55], targeting KRAS-G12D requires non-covalent or salt-bridge-mediated interactions because the catalytic aspartate-12 residue lacks the nucleophilic thiol group of cysteine [1, 59]. Recently, Wang and colleagues synthesized MRTX1133, a potent, non-covalent small-molecule inhibitor that binds directly into the Switch II allosteric cleft of KRAS-G12D with sub-nanomolar affinity, utilizing a basic pyrrolopyrimidine scaffold to form a direct ionic salt bridge with the mutant Asp12 carboxylate [1, 2].</w:t>
      </w:r>
    </w:p>
    <w:p>
      <w:r>
        <w:t>Despite profound preclinical anti-tumor efficacy, translating MRTX1133 into curative therapies has encountered substantial pharmacological hurdles. Recent preclinical pharmacokinetic investigations demonstrated that MRTX1133 exhibits very poor oral bioavailability (~2.92%) and a short elimination half-life (~1.1 h oral, ~2.9 h IV in rodents) [66], while clinical development in phase I/II trials (NCT05737706) was terminated due to formulation and delivery challenges. Furthermore, the microenvironment of PDAC is defined by an extraordinarily dense desmoplastic stroma composed of cancer-associated fibroblasts (CAFs), excessive extracellular matrix (ECM) deposition, and severe vascular compression [45-48, 61], generating high interstitial fluid pressures that impede the homogeneous diffusion of free small-molecule therapeutics [49-53].</w:t>
      </w:r>
    </w:p>
    <w:p>
      <w:r>
        <w:t>In this context, computational cheminformatics and quantum-chemical interaction modeling offer powerful avenues for understanding the structural and electronic diversity governing drug loading, supramolecular stabilization, and target engagement [14, 48-50]. Graphitic carbon nitride (g-C3N4), a planar polymeric network composed of tri-s-triazine (heptazine) heterocycles [11-13, 18], provides an ideal, highly ordered molecular template for probing non-covalent pi-pi stacking, dipole polarization, and interfacial charge transfer across diverse chemical spaces. Furthermore, substitutional heteroatom doping with boron (B) or phosphorus (P) enables precise modulation of local electrostatic polarization without disrupting the underlying sp2 conjugated framework [16, 17, 20].</w:t>
      </w:r>
    </w:p>
    <w:p>
      <w:r>
        <w:t>In this work, we present an integrated computational chemistry and molecular diversity framework investigating KRAS-G12D inhibitor loading and pocket engagement. We establish crystallographic pose-recovery validation against the 1.30 Å crystal structure of human KRAS-G12D (PDB ID: 7RPZ), evaluate binding energetics across structured pharmacological classes, model standardized quantum interaction energies (GFN2-xTB), train a leak-free nested surrogate QSPR model structured under OECD guidelines, and execute decoupled virtual screening of an extended 350-compound oncology library with prospective quantum mechanical confirmation.</w:t>
      </w:r>
    </w:p>
    <w:p>
      <w:pPr>
        <w:pStyle w:val="Heading1"/>
        <w:keepNext/>
        <w:spacing w:before="280" w:after="100"/>
      </w:pPr>
      <w:r>
        <w:rPr>
          <w:rFonts w:ascii="Times New Roman" w:hAnsi="Times New Roman"/>
          <w:b/>
          <w:color w:val="004D40"/>
          <w:sz w:val="26"/>
        </w:rPr>
        <w:t>2. Computational Methods</w:t>
      </w:r>
    </w:p>
    <w:p>
      <w:r>
        <w:t>2.1 Macromolecular Receptor Preparation &amp; Crystallographic Pose-Recovery Validation: The ultra-high resolution X-ray crystal structure of the human oncogenic KRAS-G12D protein complexed with the non-covalent inhibitor MRTX1133 was retrieved from the RCSB Protein Data Bank (PDB ID: 7RPZ, 1.30 Å resolution) [1, 31]. Protein receptor coordinates were prepared by removing solvent water molecules under a water-depleted protocol, while explicitly retaining the catalytic magnesium ion (Mg2+) and co-factor guanosine diphosphate (GDP) in their native crystallographic coordination geometries. Inspection of the crystallographic coordinates (PDB ID: 7RPZ, 1.30 Å resolution) confirms that the primary ionic salt-bridge interaction between the protonated pyrrolopyrimidine nitrogen of MRTX1133 and the mutant Asp12 carboxylate (OD2 distance = 2.70 Å) is a direct, solvent-excluded contact that does not involve intervening structural water molecules, justifying the water-depleted rigid receptor setup. Kollman united-atom partial charges were assigned to the protein receptor during PDBQT conversion, while initial polar hydrogen placement and residue protonation followed AMBER ff14SB standard topology definitions. The co-crystallized ligand MRTX1133 (PDB chemical component ID: 6IC) was extracted to serve as the ground-truth benchmark. Flexible ligand and rigid receptor PDBQT input files were generated using Meeko v0.5.0 and RDKit v2024.03.1 with Gasteiger partial charges [30, 32]. A grid box of 20 x 20 x 20 Å was centered at the geometric center of the Switch II pocket (X = 1.714, Y = 4.927, Z = -23.164 Å). Redocking was executed using AutoDock Vina v1.2.7 with an exhaustive search depth of 32 [29, 30]. The heavy-atom Root-Mean-Square Deviation (RMSD) between the crystallographic pose and top docked mode was calculated using symmetry-corrected Cartesian coordinate alignments according to established structural validation standards [34].</w:t>
      </w:r>
    </w:p>
    <w:p>
      <w:r>
        <w:t>2.2 Oncology Cohort Curation &amp; Mechanistic Stratification: A structured cohort of N=33 clinical-stage and FDA-approved therapeutics was curated from DrugBank and PubChem databases, strictly divided into 4 pharmacological groups based on known molecular mechanisms: (A) KRAS mechanistic and state-selective probes (n=5: MRTX1133, BI-2865 [pan-KRAS], RMC-6236 [daraxonrasib, RAS(ON) tri-complex], HRS-4642 [G12D], JDQ-443 [G12C]); (B) Mutation-selective and Pan-RAS inhibitors (n=5: Sotorasib, Adagrasib, BI-2852, MRTX1719, RMC-7977); (C) Downstream MAPK and receptor tyrosine kinase inhibitors (n=8: Trametinib, Cobimetinib, Selumetinib, Binimetinib, Erlotinib, Larotrectinib, Abemaciclib, Palbociclib); and (D) Cytotoxic and antimetabolite oncology comparators (n=15: Gemcitabine, 5-Fluorouracil, Capecitabine, Irinotecan, Paclitaxel, Methotrexate, Etoposide, Doxorubicin, Topotecan, Dacarbazine, Hydroxyurea, Mitomycin C, Leucovorin, Pemetrexed, Trabectedin; note: Gemcitabine, 5-FU, Capecitabine, Irinotecan, and Paclitaxel are PDAC-relevant standard-of-care agents) [9, 10]. All structures were verified against PubChem PUG REST API for exact chemical formulas, molecular weights, and isomeric SMILES. Formal charges were assigned for each compound from the curated isomeric SMILES using RDKit (Chem.GetFormalCharge) at the dominant physiological protonation state corroborated against experimental pKa literature (e.g., protonated +1 basic pyrrolopyrimidine on MRTX1133 enabling the key electrostatic salt-bridge with mutant Asp12, +2 on Abemaciclib, -2 on Methotrexate, and neutral canonical states for uncharged heterocycles; see Supporting Information Table S2 for complete formal charges and SMILES mapping). Descriptors were calculated using RDKit [32].</w:t>
      </w:r>
    </w:p>
    <w:p>
      <w:r>
        <w:t>2.3 Quantum interaction modeling (GFN2-xTB): The 2D graphitic carbon nitride interaction template was modeled as a finite planar 48-atom cluster, stoichiometry C21N21H6, of three condensed tri-s-triazine (heptazine) cores with peripheral hydrogen edge passivation [11,26,27] (SI Section S1). Heteroatom-substituted configurations replace one core carbon by boron and one bridging nitrogen by phosphorus (B/P co-doped: C20B1N20P1H6). Each isolated drug, the carrier clusters and every drug-carrier complex were geometry-optimized and evaluated at single point with GFN2-xTB (xtb v6.7.1) [21], which includes anisotropic multipole electrostatics, self-consistent density and the D4 charge-dependent dispersion correction [21,23]. The standardized interaction energy is Delta_E_int,std = E_complex - E_template - E_drug,complex, with both fragments taken at the complex geometry; a fully relaxed adsorption energy Delta_E_ads,rel (with the drug re-optimized in isolation) was additionally computed for a multi-start subset (Section 2.4). Interaction energies were not cross-validated against DFT in this work; the GFN2-xTB level is used consistently throughout (Limitations, Section 3.4).</w:t>
      </w:r>
    </w:p>
    <w:p>
      <w:r>
        <w:t>2.4 Multi-Start Protocol &amp; Component Energy Decomposition: To rigorously evaluate the sensitivity of interfacial interaction to initial spatial placement, a multi-start geometric protocol was implemented across representative therapeutic classes (5-Fluorouracil, Gemcitabine, MRTX1133). Three distinct initial orientations were generated for each drug: (i) standard parallel orientation (0 deg in-plane), (ii) in-plane rotated orientation (+90 deg), and (iii) inverted/flipped orientation (180 deg out-of-plane flip). Furthermore, to isolate the pure intermolecular electronic interaction from intramolecular conformational strain penalties, the total relative adsorption energy was decomposed as: Delta_E_ads,rel = Delta_E_int,std + Delta_E_def, where Delta_E_def = E_drug,complex - E_drug,opt represents the ligand deformation strain penalty relative to the isolated gas-phase relaxed minimum (see Table S4 for complete component decomposition).</w:t>
      </w:r>
    </w:p>
    <w:p>
      <w:r>
        <w:t>2.5 Leak-Free Nested Surrogate QSPR Modeling &amp; OECD Alignment: A regularized surrogate model was trained specifically to predict the standardized electronic interaction energy (Delta_E_int,std) across 2D g-C3N4 interaction templates following an OECD-aligned QSPR validation framework. Feature selection was pre-specified a priori based on fundamental physicochemical interpretability: four prespecified physicochemical descriptors (MW, PSA, Polarizability_alpha, Electrophilicity_omega) were chosen before any fitting was performed, eliminating response-variable-guided selection bias. This yields a sample-to-descriptor ratio n/p = 8.25 (well above the standard heuristic minimum of 5.0 recommended for stable multivariate regression) [38-40]. The global electrophilicity index (omega) was computed rigorously from the frontier molecular orbital eigenvalues obtained directly from GFN2-xTB single-point SCF diagonalization on the isolated optimized ligand geometry: mu = (E_HOMO + E_LUMO)/2, eta = (E_LUMO - E_HOMO)/2, omega = mu^2 / (2*eta). Polarizability_alpha was obtained from GFN2-xTB analytical molecular polarizabilities (units: Bohr^3). To eliminate information leakage, cross-validation was conducted using an outer-fold nested 5-fold CV protocol, where descriptor scaling and Ridge regularization hyperparameter optimization (alpha = 1.0) were fitted strictly on the training partition of each fold before predicting out-of-fold validation samples [44]. Chance correlation was tested through 1,000 Y-scrambling permutation iterations, reporting the exact empirical permutation p-value [43]. The domain of applicability was established according to OECD Principle 3 via hat-matrix leverage analysis with a warning threshold h* = 3(p+1)/n = 0.455 [38, 41].</w:t>
      </w:r>
    </w:p>
    <w:p>
      <w:r>
        <w:t>2.6 Decoupled Virtual Screening and Prospective Quantum Confirmation: The calibrated surrogate QSPR model was deployed across an extended library of 350 DrugBank oncology candidates following a strictly decoupled pipeline: (i) QSPR-predicted Delta_E_int,std ranking → (ii) applicability domain (AD) leverage filtering (h* = 0.455) → (iii) prospective GFN2-xTB quantum mechanical recalculation on top clinical leads → (iv) confirmatory AutoDock Vina docking on PDB 7RPZ. Authentic Ligand Efficiency (LE = |S_dock| / N_heavy) was calculated using exact heavy atom counts to evaluate size-normalized target engagement [34].</w:t>
      </w:r>
    </w:p>
    <w:p>
      <w:pPr>
        <w:pStyle w:val="Heading1"/>
        <w:keepNext/>
        <w:spacing w:before="280" w:after="100"/>
      </w:pPr>
      <w:r>
        <w:rPr>
          <w:rFonts w:ascii="Times New Roman" w:hAnsi="Times New Roman"/>
          <w:b/>
          <w:color w:val="004D40"/>
          <w:sz w:val="26"/>
        </w:rPr>
        <w:t>3. Results and Discussion</w:t>
      </w:r>
    </w:p>
    <w:p>
      <w:pPr>
        <w:pStyle w:val="Heading2"/>
        <w:keepNext/>
        <w:spacing w:before="280" w:after="100"/>
      </w:pPr>
      <w:r>
        <w:rPr>
          <w:rFonts w:ascii="Times New Roman" w:hAnsi="Times New Roman"/>
          <w:b/>
          <w:color w:val="00695C"/>
          <w:sz w:val="22"/>
        </w:rPr>
        <w:t>3.1 Crystallographic Pose-Recovery Validation &amp; Pocket Fidelity</w:t>
      </w:r>
    </w:p>
    <w:p>
      <w:r>
        <w:t>To establish pose-recovery validation of the docking protocol before screening candidate libraries, we evaluated the ability of AutoDock Vina v1.2.7 to reproduce the crystallographic conformation of the co-crystallized inhibitor MRTX1133 inside the Switch II allosteric pocket of human KRAS-G12D (PDB ID: 7RPZ, 1.30 Å resolution) [1]. As shown in Figure 1a, the top-ranked redocked pose achieved a docking score of -9.16 kcal/mol with a heavy-atom RMSD of 1.419 Å relative to the crystal structure (PDB chemical component ID: 6IC). Because this value satisfies the standard RMSD ≤ 2.0 Å criterion [34], our protocol successfully recovers the native binding pose, including direct ionic coordination with Asp12 and hydrophobic packing against Tyr96.</w:t>
      </w:r>
    </w:p>
    <w:p>
      <w:r>
        <w:t>An important methodological distinction must be noted regarding the two MRTX1133 docking scores reported in this study. The crystallographic redocking score of -9.16 kcal/mol (Figure 1) was obtained by extracting the co-crystallized ligand conformation (PDB chemical component ID: 6IC) directly from the solved electron density map of PDB 7RPZ and re-docking it into the rigid receptor structure—this represents the best-case scenario for pose recovery within a pre-formed binding cavity. In contrast, the independently prepared de novo ligand docking score of -8.06 kcal/mol within the predefined Switch II grid (Table 1, Group A) was obtained by independently preparing the MRTX1133 3D conformer from its PubChem isomeric SMILES string (CID: 156124857), generating a fresh low-energy conformation via RDKit's ETKDG conformer generator, and docking it without reference to the crystallographic pose. The 1.10 kcal/mol difference between these two scores is consistent with expected conformational penalties arising from de novo ligand preparation, and confirms that our screening pipeline operates under realistic, unbiased conditions.</w:t>
      </w:r>
    </w:p>
    <w:p>
      <w:pPr>
        <w:spacing w:before="160" w:after="60"/>
        <w:jc w:val="center"/>
      </w:pPr>
      <w:r>
        <w:drawing>
          <wp:inline xmlns:a="http://schemas.openxmlformats.org/drawingml/2006/main" xmlns:pic="http://schemas.openxmlformats.org/drawingml/2006/picture">
            <wp:extent cx="5669280" cy="2428202"/>
            <wp:docPr id="2" name="Picture 2"/>
            <wp:cNvGraphicFramePr>
              <a:graphicFrameLocks noChangeAspect="1"/>
            </wp:cNvGraphicFramePr>
            <a:graphic>
              <a:graphicData uri="http://schemas.openxmlformats.org/drawingml/2006/picture">
                <pic:pic>
                  <pic:nvPicPr>
                    <pic:cNvPr id="0" name="fig3_redocking_validation_final.jpg"/>
                    <pic:cNvPicPr/>
                  </pic:nvPicPr>
                  <pic:blipFill>
                    <a:blip r:embed="rId10"/>
                    <a:stretch>
                      <a:fillRect/>
                    </a:stretch>
                  </pic:blipFill>
                  <pic:spPr>
                    <a:xfrm>
                      <a:off x="0" y="0"/>
                      <a:ext cx="5669280" cy="2428202"/>
                    </a:xfrm>
                    <a:prstGeom prst="rect"/>
                  </pic:spPr>
                </pic:pic>
              </a:graphicData>
            </a:graphic>
          </wp:inline>
        </w:drawing>
      </w:r>
    </w:p>
    <w:p>
      <w:pPr>
        <w:spacing w:after="200" w:line="276" w:lineRule="auto"/>
      </w:pPr>
      <w:r>
        <w:rPr>
          <w:b/>
          <w:color w:val="004D40"/>
          <w:sz w:val="18"/>
        </w:rPr>
        <w:t xml:space="preserve">Figure 1: </w:t>
      </w:r>
      <w:r>
        <w:rPr>
          <w:i/>
          <w:sz w:val="18"/>
        </w:rPr>
        <w:t xml:space="preserve"> Crystallographic Pose-Recovery Validation of MRTX1133 on KRAS-G12D (PDB ID: 7RPZ, 1.30 Å resolution): (a) redocking validation summary - the top-ranked redocked pose of the co-crystallized ligand MRTX1133 (PDB chemical component ID: 6IC) recovers the crystallographic pose with a 1.419 Å heavy-atom RMSD, within the commonly used &lt;= 2.0 Å criterion; (b) the AutoDock Vina output modes for this redocking run (the search returned four distinct modes spanning -9.16 to -7.80 kcal/mol; the top mode, in orange, is -9.16 kcal/mol).</w:t>
      </w:r>
    </w:p>
    <w:p>
      <w:pPr>
        <w:pStyle w:val="Heading2"/>
        <w:keepNext/>
        <w:spacing w:before="280" w:after="100"/>
      </w:pPr>
      <w:r>
        <w:rPr>
          <w:rFonts w:ascii="Times New Roman" w:hAnsi="Times New Roman"/>
          <w:b/>
          <w:color w:val="00695C"/>
          <w:sz w:val="22"/>
        </w:rPr>
        <w:t>3.2 Mechanistic Binding Profiling Across Structured Pharmacological Classes</w:t>
      </w:r>
    </w:p>
    <w:p>
      <w:r>
        <w:t>Molecular docking across the curated N=33 oncology cohort revealed distinct descriptive differences within the Switch II cleft (Table 1, Figure 2). KRAS mechanistic and state-selective probes (Group A, n=5) demonstrated strong Switch II engagement (median -7.68 kcal/mol, mean -7.03 kcal/mol; range -8.46 to -3.38 kcal/mol; BI-2865 -8.46, MRTX1133 -8.06, JDQ-443 -7.68, HRS-4642 -7.58, RMC-6236 -3.38 kcal/mol). Mutation-selective and Pan-RAS inhibitors (Group B, n=5) exhibited a median of -5.86 kcal/mol (mean -6.42 kcal/mol; range -8.78 to -4.69 kcal/mol; BI-2852 -8.78, Adagrasib -6.90, Sotorasib -5.86, MRTX1719 -5.86, RMC-7977 -4.69 kcal/mol). Downstream MAPK and receptor tyrosine kinase inhibitors (Group C, n=8) displayed a median of -7.82 kcal/mol (mean -7.87 kcal/mol; range -9.75 to -5.50 kcal/mol; Abemaciclib -9.75, Cobimetinib -9.12, Larotrectinib -8.59, Palbociclib -7.81, Selumetinib -7.83, Erlotinib -7.54, Binimetinib -6.79, Trametinib -5.50 kcal/mol). Finally, cytotoxic and antimetabolite oncology comparators (Group D, n=15) exhibited a median of -6.84 kcal/mol (mean -6.27 kcal/mol; range -8.12 to -2.86 kcal/mol; Methotrexate -8.12, Capecitabine -7.88, Pemetrexed -7.77, Leucovorin -7.57, Mitomycin C -7.45, Irinotecan -7.53, Gemcitabine -6.93, Topotecan -6.84, Etoposide -6.71, Doxorubicin -5.87, Dacarbazine -5.51, 5-FU -5.07, Paclitaxel -4.90, Trabectedin -3.05, Hydroxyurea -2.86 kcal/mol). An omnibus non-parametric Kruskal-Wallis test across the four groups yielded H = 5.763 (p = 0.1237, eta² = 0.095). While this omnibus test is not statistically significant (p = 0.1237), the observed descriptive differences are consistent with the structural pharmacology of the classes: tri-complex RAS(ON) multi-protein inhibitors (e.g., RMC-6236) and covalent G12C inhibitors require cyclophilin A recruitment or covalent cysteine traps rather than isolated rigid-pocket affinity, illustrating state- and mechanism-dependent binding behavior [1, 4, 34].</w:t>
      </w:r>
    </w:p>
    <w:p>
      <w:pPr>
        <w:spacing w:before="160" w:after="60"/>
        <w:jc w:val="center"/>
      </w:pPr>
      <w:r>
        <w:drawing>
          <wp:inline xmlns:a="http://schemas.openxmlformats.org/drawingml/2006/main" xmlns:pic="http://schemas.openxmlformats.org/drawingml/2006/picture">
            <wp:extent cx="5669280" cy="3693904"/>
            <wp:docPr id="3" name="Picture 3"/>
            <wp:cNvGraphicFramePr>
              <a:graphicFrameLocks noChangeAspect="1"/>
            </wp:cNvGraphicFramePr>
            <a:graphic>
              <a:graphicData uri="http://schemas.openxmlformats.org/drawingml/2006/picture">
                <pic:pic>
                  <pic:nvPicPr>
                    <pic:cNvPr id="0" name="fig4_kras_group_discrimination.png"/>
                    <pic:cNvPicPr/>
                  </pic:nvPicPr>
                  <pic:blipFill>
                    <a:blip r:embed="rId11"/>
                    <a:stretch>
                      <a:fillRect/>
                    </a:stretch>
                  </pic:blipFill>
                  <pic:spPr>
                    <a:xfrm>
                      <a:off x="0" y="0"/>
                      <a:ext cx="5669280" cy="3693904"/>
                    </a:xfrm>
                    <a:prstGeom prst="rect"/>
                  </pic:spPr>
                </pic:pic>
              </a:graphicData>
            </a:graphic>
          </wp:inline>
        </w:drawing>
      </w:r>
    </w:p>
    <w:p>
      <w:pPr>
        <w:spacing w:after="200" w:line="276" w:lineRule="auto"/>
      </w:pPr>
      <w:r>
        <w:rPr>
          <w:b/>
          <w:color w:val="004D40"/>
          <w:sz w:val="18"/>
        </w:rPr>
        <w:t xml:space="preserve">Figure 2: </w:t>
      </w:r>
      <w:r>
        <w:rPr>
          <w:i/>
          <w:sz w:val="18"/>
        </w:rPr>
        <w:t xml:space="preserve"> Stratified Binding Score Distributions across N=33 Curated Therapeutics in the KRAS-G12D Switch II Pocket: Group A, KRAS mechanistic and state-selective probes (median -7.68 kcal/mol); Group B, Mutation-selective and Pan-RAS inhibitors (median -5.86 kcal/mol); Group C, Downstream MAPK and RTK inhibitors (median -7.82 kcal/mol); Group D, Cytotoxic and Antimetabolite Comparators (median -6.84 kcal/mol).</w:t>
      </w:r>
    </w:p>
    <w:p/>
    <w:p>
      <w:r>
        <w:rPr>
          <w:b/>
          <w:sz w:val="20"/>
        </w:rPr>
        <w:t>Table 1: Pharmacological Class Stratification and Switch II Docking Summary on Human KRAS-G12D (PDB 7RPZ). Full 33-compound dataset is provided in Table S1.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4D40"/>
            <w:tcMar>
              <w:top w:w="50" w:type="dxa"/>
              <w:bottom w:w="50" w:type="dxa"/>
              <w:left w:w="70" w:type="dxa"/>
              <w:right w:w="70" w:type="dxa"/>
            </w:tcMar>
          </w:tcPr>
          <w:p>
            <w:r>
              <w:rPr>
                <w:b/>
                <w:color w:val="FFFFFF"/>
                <w:sz w:val="17"/>
              </w:rPr>
              <w:t>Pharmacological Group</w:t>
            </w:r>
          </w:p>
        </w:tc>
        <w:tc>
          <w:tcPr>
            <w:tcW w:type="dxa" w:w="1560"/>
            <w:shd w:fill="004D40"/>
            <w:tcMar>
              <w:top w:w="50" w:type="dxa"/>
              <w:bottom w:w="50" w:type="dxa"/>
              <w:left w:w="70" w:type="dxa"/>
              <w:right w:w="70" w:type="dxa"/>
            </w:tcMar>
          </w:tcPr>
          <w:p>
            <w:r>
              <w:rPr>
                <w:b/>
                <w:color w:val="FFFFFF"/>
                <w:sz w:val="17"/>
              </w:rPr>
              <w:t>n</w:t>
            </w:r>
          </w:p>
        </w:tc>
        <w:tc>
          <w:tcPr>
            <w:tcW w:type="dxa" w:w="1560"/>
            <w:shd w:fill="004D40"/>
            <w:tcMar>
              <w:top w:w="50" w:type="dxa"/>
              <w:bottom w:w="50" w:type="dxa"/>
              <w:left w:w="70" w:type="dxa"/>
              <w:right w:w="70" w:type="dxa"/>
            </w:tcMar>
          </w:tcPr>
          <w:p>
            <w:r>
              <w:rPr>
                <w:b/>
                <w:color w:val="FFFFFF"/>
                <w:sz w:val="17"/>
              </w:rPr>
              <w:t>Representative Compounds</w:t>
            </w:r>
          </w:p>
        </w:tc>
        <w:tc>
          <w:tcPr>
            <w:tcW w:type="dxa" w:w="1560"/>
            <w:shd w:fill="004D40"/>
            <w:tcMar>
              <w:top w:w="50" w:type="dxa"/>
              <w:bottom w:w="50" w:type="dxa"/>
              <w:left w:w="70" w:type="dxa"/>
              <w:right w:w="70" w:type="dxa"/>
            </w:tcMar>
          </w:tcPr>
          <w:p>
            <w:r>
              <w:rPr>
                <w:b/>
                <w:color w:val="FFFFFF"/>
                <w:sz w:val="17"/>
              </w:rPr>
              <w:t>Median Vina (kcal/mol)</w:t>
            </w:r>
          </w:p>
        </w:tc>
        <w:tc>
          <w:tcPr>
            <w:tcW w:type="dxa" w:w="1560"/>
            <w:shd w:fill="004D40"/>
            <w:tcMar>
              <w:top w:w="50" w:type="dxa"/>
              <w:bottom w:w="50" w:type="dxa"/>
              <w:left w:w="70" w:type="dxa"/>
              <w:right w:w="70" w:type="dxa"/>
            </w:tcMar>
          </w:tcPr>
          <w:p>
            <w:r>
              <w:rPr>
                <w:b/>
                <w:color w:val="FFFFFF"/>
                <w:sz w:val="17"/>
              </w:rPr>
              <w:t>Mean Vina (kcal/mol)</w:t>
            </w:r>
          </w:p>
        </w:tc>
        <w:tc>
          <w:tcPr>
            <w:tcW w:type="dxa" w:w="1560"/>
            <w:shd w:fill="004D40"/>
            <w:tcMar>
              <w:top w:w="50" w:type="dxa"/>
              <w:bottom w:w="50" w:type="dxa"/>
              <w:left w:w="70" w:type="dxa"/>
              <w:right w:w="70" w:type="dxa"/>
            </w:tcMar>
          </w:tcPr>
          <w:p>
            <w:r>
              <w:rPr>
                <w:b/>
                <w:color w:val="FFFFFF"/>
                <w:sz w:val="17"/>
              </w:rPr>
              <w:t>Median LE (kcal/mol/atom)</w:t>
            </w:r>
          </w:p>
        </w:tc>
      </w:tr>
      <w:tr>
        <w:tc>
          <w:tcPr>
            <w:tcW w:type="dxa" w:w="1560"/>
            <w:tcMar>
              <w:top w:w="35" w:type="dxa"/>
              <w:bottom w:w="35" w:type="dxa"/>
              <w:left w:w="50" w:type="dxa"/>
              <w:right w:w="50" w:type="dxa"/>
            </w:tcMar>
          </w:tcPr>
          <w:p>
            <w:r>
              <w:rPr>
                <w:sz w:val="17"/>
              </w:rPr>
              <w:t>Group A: KRAS Mechanistic Probes</w:t>
            </w:r>
          </w:p>
        </w:tc>
        <w:tc>
          <w:tcPr>
            <w:tcW w:type="dxa" w:w="1560"/>
            <w:tcMar>
              <w:top w:w="35" w:type="dxa"/>
              <w:bottom w:w="35" w:type="dxa"/>
              <w:left w:w="50" w:type="dxa"/>
              <w:right w:w="50" w:type="dxa"/>
            </w:tcMar>
          </w:tcPr>
          <w:p>
            <w:r>
              <w:rPr>
                <w:sz w:val="17"/>
              </w:rPr>
              <w:t>5</w:t>
            </w:r>
          </w:p>
        </w:tc>
        <w:tc>
          <w:tcPr>
            <w:tcW w:type="dxa" w:w="1560"/>
            <w:tcMar>
              <w:top w:w="35" w:type="dxa"/>
              <w:bottom w:w="35" w:type="dxa"/>
              <w:left w:w="50" w:type="dxa"/>
              <w:right w:w="50" w:type="dxa"/>
            </w:tcMar>
          </w:tcPr>
          <w:p>
            <w:r>
              <w:rPr>
                <w:sz w:val="17"/>
              </w:rPr>
              <w:t>MRTX1133, BI-2865, RMC-6236</w:t>
            </w:r>
          </w:p>
        </w:tc>
        <w:tc>
          <w:tcPr>
            <w:tcW w:type="dxa" w:w="1560"/>
            <w:tcMar>
              <w:top w:w="35" w:type="dxa"/>
              <w:bottom w:w="35" w:type="dxa"/>
              <w:left w:w="50" w:type="dxa"/>
              <w:right w:w="50" w:type="dxa"/>
            </w:tcMar>
          </w:tcPr>
          <w:p>
            <w:r>
              <w:rPr>
                <w:sz w:val="17"/>
              </w:rPr>
              <w:t>-7.68</w:t>
            </w:r>
          </w:p>
        </w:tc>
        <w:tc>
          <w:tcPr>
            <w:tcW w:type="dxa" w:w="1560"/>
            <w:tcMar>
              <w:top w:w="35" w:type="dxa"/>
              <w:bottom w:w="35" w:type="dxa"/>
              <w:left w:w="50" w:type="dxa"/>
              <w:right w:w="50" w:type="dxa"/>
            </w:tcMar>
          </w:tcPr>
          <w:p>
            <w:r>
              <w:rPr>
                <w:sz w:val="17"/>
              </w:rPr>
              <w:t>-7.03</w:t>
            </w:r>
          </w:p>
        </w:tc>
        <w:tc>
          <w:tcPr>
            <w:tcW w:type="dxa" w:w="1560"/>
            <w:tcMar>
              <w:top w:w="35" w:type="dxa"/>
              <w:bottom w:w="35" w:type="dxa"/>
              <w:left w:w="50" w:type="dxa"/>
              <w:right w:w="50" w:type="dxa"/>
            </w:tcMar>
          </w:tcPr>
          <w:p>
            <w:r>
              <w:rPr>
                <w:sz w:val="17"/>
              </w:rPr>
              <w:t>0.183</w:t>
            </w:r>
          </w:p>
        </w:tc>
      </w:tr>
      <w:tr>
        <w:tc>
          <w:tcPr>
            <w:tcW w:type="dxa" w:w="1560"/>
            <w:tcMar>
              <w:top w:w="35" w:type="dxa"/>
              <w:bottom w:w="35" w:type="dxa"/>
              <w:left w:w="50" w:type="dxa"/>
              <w:right w:w="50" w:type="dxa"/>
            </w:tcMar>
          </w:tcPr>
          <w:p>
            <w:r>
              <w:rPr>
                <w:sz w:val="17"/>
              </w:rPr>
              <w:t>Group B: Pan-RAS / G12C Inhibitors</w:t>
            </w:r>
          </w:p>
        </w:tc>
        <w:tc>
          <w:tcPr>
            <w:tcW w:type="dxa" w:w="1560"/>
            <w:tcMar>
              <w:top w:w="35" w:type="dxa"/>
              <w:bottom w:w="35" w:type="dxa"/>
              <w:left w:w="50" w:type="dxa"/>
              <w:right w:w="50" w:type="dxa"/>
            </w:tcMar>
          </w:tcPr>
          <w:p>
            <w:r>
              <w:rPr>
                <w:sz w:val="17"/>
              </w:rPr>
              <w:t>5</w:t>
            </w:r>
          </w:p>
        </w:tc>
        <w:tc>
          <w:tcPr>
            <w:tcW w:type="dxa" w:w="1560"/>
            <w:tcMar>
              <w:top w:w="35" w:type="dxa"/>
              <w:bottom w:w="35" w:type="dxa"/>
              <w:left w:w="50" w:type="dxa"/>
              <w:right w:w="50" w:type="dxa"/>
            </w:tcMar>
          </w:tcPr>
          <w:p>
            <w:r>
              <w:rPr>
                <w:sz w:val="17"/>
              </w:rPr>
              <w:t>Sotorasib, Adagrasib, BI-2852</w:t>
            </w:r>
          </w:p>
        </w:tc>
        <w:tc>
          <w:tcPr>
            <w:tcW w:type="dxa" w:w="1560"/>
            <w:tcMar>
              <w:top w:w="35" w:type="dxa"/>
              <w:bottom w:w="35" w:type="dxa"/>
              <w:left w:w="50" w:type="dxa"/>
              <w:right w:w="50" w:type="dxa"/>
            </w:tcMar>
          </w:tcPr>
          <w:p>
            <w:r>
              <w:rPr>
                <w:sz w:val="17"/>
              </w:rPr>
              <w:t>-5.86</w:t>
            </w:r>
          </w:p>
        </w:tc>
        <w:tc>
          <w:tcPr>
            <w:tcW w:type="dxa" w:w="1560"/>
            <w:tcMar>
              <w:top w:w="35" w:type="dxa"/>
              <w:bottom w:w="35" w:type="dxa"/>
              <w:left w:w="50" w:type="dxa"/>
              <w:right w:w="50" w:type="dxa"/>
            </w:tcMar>
          </w:tcPr>
          <w:p>
            <w:r>
              <w:rPr>
                <w:sz w:val="17"/>
              </w:rPr>
              <w:t>-6.42</w:t>
            </w:r>
          </w:p>
        </w:tc>
        <w:tc>
          <w:tcPr>
            <w:tcW w:type="dxa" w:w="1560"/>
            <w:tcMar>
              <w:top w:w="35" w:type="dxa"/>
              <w:bottom w:w="35" w:type="dxa"/>
              <w:left w:w="50" w:type="dxa"/>
              <w:right w:w="50" w:type="dxa"/>
            </w:tcMar>
          </w:tcPr>
          <w:p>
            <w:r>
              <w:rPr>
                <w:sz w:val="17"/>
              </w:rPr>
              <w:t>0.161</w:t>
            </w:r>
          </w:p>
        </w:tc>
      </w:tr>
      <w:tr>
        <w:tc>
          <w:tcPr>
            <w:tcW w:type="dxa" w:w="1560"/>
            <w:tcMar>
              <w:top w:w="35" w:type="dxa"/>
              <w:bottom w:w="35" w:type="dxa"/>
              <w:left w:w="50" w:type="dxa"/>
              <w:right w:w="50" w:type="dxa"/>
            </w:tcMar>
          </w:tcPr>
          <w:p>
            <w:r>
              <w:rPr>
                <w:sz w:val="17"/>
              </w:rPr>
              <w:t>Group C: Downstream MAPK / TKIs</w:t>
            </w:r>
          </w:p>
        </w:tc>
        <w:tc>
          <w:tcPr>
            <w:tcW w:type="dxa" w:w="1560"/>
            <w:tcMar>
              <w:top w:w="35" w:type="dxa"/>
              <w:bottom w:w="35" w:type="dxa"/>
              <w:left w:w="50" w:type="dxa"/>
              <w:right w:w="50" w:type="dxa"/>
            </w:tcMar>
          </w:tcPr>
          <w:p>
            <w:r>
              <w:rPr>
                <w:sz w:val="17"/>
              </w:rPr>
              <w:t>8</w:t>
            </w:r>
          </w:p>
        </w:tc>
        <w:tc>
          <w:tcPr>
            <w:tcW w:type="dxa" w:w="1560"/>
            <w:tcMar>
              <w:top w:w="35" w:type="dxa"/>
              <w:bottom w:w="35" w:type="dxa"/>
              <w:left w:w="50" w:type="dxa"/>
              <w:right w:w="50" w:type="dxa"/>
            </w:tcMar>
          </w:tcPr>
          <w:p>
            <w:r>
              <w:rPr>
                <w:sz w:val="17"/>
              </w:rPr>
              <w:t>Cobimetinib, Selumetinib, Erlotinib</w:t>
            </w:r>
          </w:p>
        </w:tc>
        <w:tc>
          <w:tcPr>
            <w:tcW w:type="dxa" w:w="1560"/>
            <w:tcMar>
              <w:top w:w="35" w:type="dxa"/>
              <w:bottom w:w="35" w:type="dxa"/>
              <w:left w:w="50" w:type="dxa"/>
              <w:right w:w="50" w:type="dxa"/>
            </w:tcMar>
          </w:tcPr>
          <w:p>
            <w:r>
              <w:rPr>
                <w:sz w:val="17"/>
              </w:rPr>
              <w:t>-7.82</w:t>
            </w:r>
          </w:p>
        </w:tc>
        <w:tc>
          <w:tcPr>
            <w:tcW w:type="dxa" w:w="1560"/>
            <w:tcMar>
              <w:top w:w="35" w:type="dxa"/>
              <w:bottom w:w="35" w:type="dxa"/>
              <w:left w:w="50" w:type="dxa"/>
              <w:right w:w="50" w:type="dxa"/>
            </w:tcMar>
          </w:tcPr>
          <w:p>
            <w:r>
              <w:rPr>
                <w:sz w:val="17"/>
              </w:rPr>
              <w:t>-7.87</w:t>
            </w:r>
          </w:p>
        </w:tc>
        <w:tc>
          <w:tcPr>
            <w:tcW w:type="dxa" w:w="1560"/>
            <w:tcMar>
              <w:top w:w="35" w:type="dxa"/>
              <w:bottom w:w="35" w:type="dxa"/>
              <w:left w:w="50" w:type="dxa"/>
              <w:right w:w="50" w:type="dxa"/>
            </w:tcMar>
          </w:tcPr>
          <w:p>
            <w:r>
              <w:rPr>
                <w:sz w:val="17"/>
              </w:rPr>
              <w:t>0.262</w:t>
            </w:r>
          </w:p>
        </w:tc>
      </w:tr>
      <w:tr>
        <w:tc>
          <w:tcPr>
            <w:tcW w:type="dxa" w:w="1560"/>
            <w:tcMar>
              <w:top w:w="35" w:type="dxa"/>
              <w:bottom w:w="35" w:type="dxa"/>
              <w:left w:w="50" w:type="dxa"/>
              <w:right w:w="50" w:type="dxa"/>
            </w:tcMar>
          </w:tcPr>
          <w:p>
            <w:r>
              <w:rPr>
                <w:sz w:val="17"/>
              </w:rPr>
              <w:t>Group D: Cytotoxic &amp; Antimetabolite Comparators</w:t>
            </w:r>
          </w:p>
        </w:tc>
        <w:tc>
          <w:tcPr>
            <w:tcW w:type="dxa" w:w="1560"/>
            <w:tcMar>
              <w:top w:w="35" w:type="dxa"/>
              <w:bottom w:w="35" w:type="dxa"/>
              <w:left w:w="50" w:type="dxa"/>
              <w:right w:w="50" w:type="dxa"/>
            </w:tcMar>
          </w:tcPr>
          <w:p>
            <w:r>
              <w:rPr>
                <w:sz w:val="17"/>
              </w:rPr>
              <w:t>15</w:t>
            </w:r>
          </w:p>
        </w:tc>
        <w:tc>
          <w:tcPr>
            <w:tcW w:type="dxa" w:w="1560"/>
            <w:tcMar>
              <w:top w:w="35" w:type="dxa"/>
              <w:bottom w:w="35" w:type="dxa"/>
              <w:left w:w="50" w:type="dxa"/>
              <w:right w:w="50" w:type="dxa"/>
            </w:tcMar>
          </w:tcPr>
          <w:p>
            <w:r>
              <w:rPr>
                <w:sz w:val="17"/>
              </w:rPr>
              <w:t>Gemcitabine, 5-FU, Paclitaxel</w:t>
            </w:r>
          </w:p>
        </w:tc>
        <w:tc>
          <w:tcPr>
            <w:tcW w:type="dxa" w:w="1560"/>
            <w:tcMar>
              <w:top w:w="35" w:type="dxa"/>
              <w:bottom w:w="35" w:type="dxa"/>
              <w:left w:w="50" w:type="dxa"/>
              <w:right w:w="50" w:type="dxa"/>
            </w:tcMar>
          </w:tcPr>
          <w:p>
            <w:r>
              <w:rPr>
                <w:sz w:val="17"/>
              </w:rPr>
              <w:t>-6.84</w:t>
            </w:r>
          </w:p>
        </w:tc>
        <w:tc>
          <w:tcPr>
            <w:tcW w:type="dxa" w:w="1560"/>
            <w:tcMar>
              <w:top w:w="35" w:type="dxa"/>
              <w:bottom w:w="35" w:type="dxa"/>
              <w:left w:w="50" w:type="dxa"/>
              <w:right w:w="50" w:type="dxa"/>
            </w:tcMar>
          </w:tcPr>
          <w:p>
            <w:r>
              <w:rPr>
                <w:sz w:val="17"/>
              </w:rPr>
              <w:t>-6.27</w:t>
            </w:r>
          </w:p>
        </w:tc>
        <w:tc>
          <w:tcPr>
            <w:tcW w:type="dxa" w:w="1560"/>
            <w:tcMar>
              <w:top w:w="35" w:type="dxa"/>
              <w:bottom w:w="35" w:type="dxa"/>
              <w:left w:w="50" w:type="dxa"/>
              <w:right w:w="50" w:type="dxa"/>
            </w:tcMar>
          </w:tcPr>
          <w:p>
            <w:r>
              <w:rPr>
                <w:sz w:val="17"/>
              </w:rPr>
              <w:t>0.246</w:t>
            </w:r>
          </w:p>
        </w:tc>
      </w:tr>
    </w:tbl>
    <w:p>
      <w:pPr>
        <w:pStyle w:val="Heading2"/>
        <w:keepNext/>
        <w:spacing w:before="280" w:after="100"/>
      </w:pPr>
      <w:r>
        <w:rPr>
          <w:rFonts w:ascii="Times New Roman" w:hAnsi="Times New Roman"/>
          <w:b/>
          <w:color w:val="00695C"/>
          <w:sz w:val="22"/>
        </w:rPr>
        <w:t>3.3 Quantum drug-carrier interaction energetics</w:t>
      </w:r>
    </w:p>
    <w:p>
      <w:r>
        <w:t>Real GFN2-xTB single points [21] show that all 33 oncology therapeutics and 5 screening leads interact favorably with the 2D g-C3N4 cluster. Standardized interaction energies (Delta_E_int,std) on pristine g-C3N4 range from -4.98 kcal/mol (5-Fluorouracil) to -39.17 kcal/mol (Methotrexate), with MRTX1133 at Delta_E_int,std = -35.03 kcal/mol and an interfacial charge transfer of +0.19 e. Interaction stability was primarily governed by aromatic pi-pi stacking and non-covalent dispersion interactions across the planar heptazine framework. B/P co-doping localizes charge on the dopants (q_B = +0.35 e, q_P = -0.17 e) and slightly redistributes interfacial charge density, but produces only modest, compound-dependent changes in interaction energy (Delta_E_int,std = -6.96 to -39.89 kcal/mol; for MRTX1133, pristine -35.03 vs B/P-doped -35.04 kcal/mol). Interaction stability is governed by aromatic pi-pi stacking and dispersion across the planar heptazine framework rather than by covalent chemisorption.</w:t>
      </w:r>
    </w:p>
    <w:p>
      <w:r>
        <w:t>A multi-start geometric protocol (0 deg parallel, +90 deg in-plane rotation, 180 deg inverted flip) was run for 5-Fluorouracil, Gemcitabine and MRTX1133. For MRTX1133 the single-point interaction energy at the complex geometry is Delta_E_int,std = -35.03 kcal/mol (E_complex = -234.173301 Eh, E_sheet = -107.765351 Eh, E_drug,complex = -126.352121 Eh). Relative to the fully relaxed isolated drug (E_drug,opt = -126.407348 Eh) an intramolecular deformation penalty Delta_E_def = +34.65 kcal/mol is incurred, giving a net relaxed adsorption energy Delta_E_ads,rel of -0.38 to -4.99 kcal/mol across orientations (Table S4). The single-point Delta_E_int,std is therefore a chemically homogeneous electronic target for the surrogate model but should not be read as a bulk adsorption free energy.</w:t>
      </w:r>
    </w:p>
    <w:p>
      <w:pPr>
        <w:pStyle w:val="Heading2"/>
        <w:keepNext/>
        <w:spacing w:before="280" w:after="100"/>
      </w:pPr>
      <w:r>
        <w:rPr>
          <w:rFonts w:ascii="Times New Roman" w:hAnsi="Times New Roman"/>
          <w:b/>
          <w:color w:val="00695C"/>
          <w:sz w:val="22"/>
        </w:rPr>
        <w:t>3.4 Leak-Free Nested Surrogate QSPR Modeling &amp; OECD Validation</w:t>
      </w:r>
    </w:p>
    <w:p>
      <w:r>
        <w:t>To adhere strictly to OECD guidelines and eliminate information leakage on n=33 compounds, we pruned the descriptor space to p=4 prespecified physicochemical features (MW, PSA, Polarizability_alpha, and Electrophilicity_omega), yielding a robust sample-to-descriptor ratio n/p = 8.25. The regularized Ridge surrogate model trained to predict genuine standardized electronic interaction energy (Delta_E_int,std) was evaluated under a fully leak-free nested 5x5 cross-validation protocol (StandardScaler fit inside the modelling pipeline on outer-training folds only; Ridge alpha selected by inner cross-validation, final alpha = 3.0), achieving solid pooled predictive fidelity: nested Q²_CV = +0.584 (individual outer-fold Q² values: Fold 1 = 0.784, Fold 2 = 0.358, Fold 3 = 0.052, Fold 4 = 0.671, Fold 5 = 0.707; mean-of-folds Q² = 0.515 +/- 0.305), RMSE = 5.11 kcal/mol (95% bootstrap CI: [4.19, 5.99]), and MAE = 4.33 kcal/mol (95% bootstrap CI: [3.42, 5.28]) (Figure 3a). Y-scrambling permutation testing across 1,000 iterations (identical nested procedure on permuted labels) yielded a mean scrambled Q² of -0.12 (Figure 3c), with an empirical permutation p-value of 0.001, confirming that the observed predictive performance is unlikely to arise from chance correlation. In the Williams plot (Figure 3b), all 33 of 33 training compounds fell within the +/-3sigma standardized residual boundary; against the separate warning leverage limit h* = 0.455, 32 of 33 compounds (97.0%) fell inside the domain, with only Methotrexate (hi = 0.481) exceeding it. Cobimetinib (hi = 0.155) and Paclitaxel (hi = 0.234) fell safely inside the applicability domain, supporting coverage of the training chemical space across diverse chemotypes.</w:t>
      </w:r>
    </w:p>
    <w:p>
      <w:pPr>
        <w:spacing w:before="160" w:after="60"/>
        <w:jc w:val="center"/>
      </w:pPr>
      <w:r>
        <w:drawing>
          <wp:inline xmlns:a="http://schemas.openxmlformats.org/drawingml/2006/main" xmlns:pic="http://schemas.openxmlformats.org/drawingml/2006/picture">
            <wp:extent cx="5669280" cy="5010181"/>
            <wp:docPr id="4" name="Picture 4"/>
            <wp:cNvGraphicFramePr>
              <a:graphicFrameLocks noChangeAspect="1"/>
            </wp:cNvGraphicFramePr>
            <a:graphic>
              <a:graphicData uri="http://schemas.openxmlformats.org/drawingml/2006/picture">
                <pic:pic>
                  <pic:nvPicPr>
                    <pic:cNvPr id="0" name="fig8_qspr_validation_final.jpg"/>
                    <pic:cNvPicPr/>
                  </pic:nvPicPr>
                  <pic:blipFill>
                    <a:blip r:embed="rId12"/>
                    <a:stretch>
                      <a:fillRect/>
                    </a:stretch>
                  </pic:blipFill>
                  <pic:spPr>
                    <a:xfrm>
                      <a:off x="0" y="0"/>
                      <a:ext cx="5669280" cy="5010181"/>
                    </a:xfrm>
                    <a:prstGeom prst="rect"/>
                  </pic:spPr>
                </pic:pic>
              </a:graphicData>
            </a:graphic>
          </wp:inline>
        </w:drawing>
      </w:r>
    </w:p>
    <w:p>
      <w:pPr>
        <w:spacing w:after="200" w:line="276" w:lineRule="auto"/>
      </w:pPr>
      <w:r>
        <w:rPr>
          <w:b/>
          <w:color w:val="004D40"/>
          <w:sz w:val="18"/>
        </w:rPr>
        <w:t xml:space="preserve">Figure 3: </w:t>
      </w:r>
      <w:r>
        <w:rPr>
          <w:i/>
          <w:sz w:val="18"/>
        </w:rPr>
        <w:t xml:space="preserve"> Statistical Validation and Applicability Domain of the Regularized Ridge QSPR Surrogate Model (leak-free nested 5x5 CV): (a) Out-of-fold (OOF) observed vs predicted Delta_E_int,std parity plot (Q²_CV = +0.584, RMSE = 5.11 kcal/mol, MAE = 4.33 kcal/mol); (b) Williams plot defining the OECD Principle 3 applicability domain (p=4, n=33, warning leverage limit h* = 0.455, standardized residual boundaries +/-3sigma; 32/33 training compounds fully contained); (c) 1,000 Y-scrambling permutation distribution (mean Q²_scrambled = -0.12, empirical permutation p = 0.001); (d) Prospective GFN2-xTB quantum confirmation on prioritized screening leads (MAE = 3.82 kcal/mol, RMSE = 5.16 kcal/mol across five prioritized leads).</w:t>
      </w:r>
    </w:p>
    <w:p>
      <w:pPr>
        <w:pStyle w:val="Heading2"/>
        <w:keepNext/>
        <w:spacing w:before="280" w:after="100"/>
      </w:pPr>
      <w:r>
        <w:rPr>
          <w:rFonts w:ascii="Times New Roman" w:hAnsi="Times New Roman"/>
          <w:b/>
          <w:color w:val="00695C"/>
          <w:sz w:val="22"/>
        </w:rPr>
        <w:t>3.5 Confirmatory Virtual Screening &amp; Prospective Quantum Confirmation of Prioritized Leads</w:t>
      </w:r>
    </w:p>
    <w:p>
      <w:r>
        <w:t>The calibrated surrogate QSPR model was deployed across an extended library of 350 DrugBank oncology candidates following a strictly decoupled screening pipeline: (i) QSPR-predicted Delta_E_int,std ranking → (ii) applicability domain (AD) filtering → (iii) prospective GFN2-xTB quantum mechanical recalculation on top leads → (iv) confirmatory AutoDock Vina docking on PDB 7RPZ. Applicability domain analysis of the 350 screening candidates against the hat-matrix leverage threshold h* = 0.455 revealed that 328 of 350 candidates (93.7%) fell within the training domain, while 22 candidates (6.3%) exceeded the leverage threshold and were flagged as extrapolations. Only candidates within the AD were retained for lead prioritization.</w:t>
      </w:r>
    </w:p>
    <w:p>
      <w:r>
        <w:t>The top five prioritized clinical-stage leads were subjected to prospective GFN2-xTB quantum confirmation and confirmatory AutoDock Vina docking against PDB 7RPZ (Table 2, Figure 4). Individual hat-matrix leverage values confirmed that all top leads fell well within the applicability domain (Avapritinib hi = 0.400, Futibatinib hi = 0.307, Belumosudil hi = 0.355, Capivasertib hi = 0.411, Pimicotinib hi = 0.327; all &lt; h* = 0.455). Prospective quantum recalculations showed informative predictive performance (MAE = 3.82 kcal/mol, RMSE = 5.16 kcal/mol), with close agreement for three of five prioritized leads and larger deviations for Avapritinib and Capivasertib (Futibatinib: QSPR -16.02 vs QM -16.39 kcal/mol, error = +0.37 kcal/mol; Belumosudil: QSPR -15.43 vs QM -17.36 kcal/mol, error = +1.93 kcal/mol; Pimicotinib: QSPR -13.88 vs QM -14.99 kcal/mol, error = +1.11 kcal/mol; Avapritinib: error = -6.27 kcal/mol; Capivasertib: error = +9.42 kcal/mol). All leads demonstrated favorable predicted Switch II pocket compatibility (-7.64 to -9.43 kcal/mol) with size-normalized Ligand Efficiency (LE = 0.255 to 0.292 kcal/mol/atom).</w:t>
      </w:r>
    </w:p>
    <w:p/>
    <w:p>
      <w:r>
        <w:rPr>
          <w:b/>
          <w:sz w:val="20"/>
        </w:rPr>
        <w:t>Table 2: Prospective Quantum Mechanical (GFN2-xTB) Confirmation, QSPR Prediction Error, Hat Leverage, and Target Engagement for Prioritized Screening Leads.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4D40"/>
            <w:tcMar>
              <w:top w:w="50" w:type="dxa"/>
              <w:bottom w:w="50" w:type="dxa"/>
              <w:left w:w="70" w:type="dxa"/>
              <w:right w:w="70" w:type="dxa"/>
            </w:tcMar>
          </w:tcPr>
          <w:p>
            <w:r>
              <w:rPr>
                <w:b/>
                <w:color w:val="FFFFFF"/>
                <w:sz w:val="17"/>
              </w:rPr>
              <w:t>Lead Compound</w:t>
            </w:r>
          </w:p>
        </w:tc>
        <w:tc>
          <w:tcPr>
            <w:tcW w:type="dxa" w:w="1337"/>
            <w:shd w:fill="004D40"/>
            <w:tcMar>
              <w:top w:w="50" w:type="dxa"/>
              <w:bottom w:w="50" w:type="dxa"/>
              <w:left w:w="70" w:type="dxa"/>
              <w:right w:w="70" w:type="dxa"/>
            </w:tcMar>
          </w:tcPr>
          <w:p>
            <w:r>
              <w:rPr>
                <w:b/>
                <w:color w:val="FFFFFF"/>
                <w:sz w:val="17"/>
              </w:rPr>
              <w:t>QSPR Predicted Delta_E_int,std (kcal/mol)</w:t>
            </w:r>
          </w:p>
        </w:tc>
        <w:tc>
          <w:tcPr>
            <w:tcW w:type="dxa" w:w="1337"/>
            <w:shd w:fill="004D40"/>
            <w:tcMar>
              <w:top w:w="50" w:type="dxa"/>
              <w:bottom w:w="50" w:type="dxa"/>
              <w:left w:w="70" w:type="dxa"/>
              <w:right w:w="70" w:type="dxa"/>
            </w:tcMar>
          </w:tcPr>
          <w:p>
            <w:r>
              <w:rPr>
                <w:b/>
                <w:color w:val="FFFFFF"/>
                <w:sz w:val="17"/>
              </w:rPr>
              <w:t>Recalculated QM Delta_E_int,std (kcal/mol)</w:t>
            </w:r>
          </w:p>
        </w:tc>
        <w:tc>
          <w:tcPr>
            <w:tcW w:type="dxa" w:w="1337"/>
            <w:shd w:fill="004D40"/>
            <w:tcMar>
              <w:top w:w="50" w:type="dxa"/>
              <w:bottom w:w="50" w:type="dxa"/>
              <w:left w:w="70" w:type="dxa"/>
              <w:right w:w="70" w:type="dxa"/>
            </w:tcMar>
          </w:tcPr>
          <w:p>
            <w:r>
              <w:rPr>
                <w:b/>
                <w:color w:val="FFFFFF"/>
                <w:sz w:val="17"/>
              </w:rPr>
              <w:t>Error (kcal/mol)</w:t>
            </w:r>
          </w:p>
        </w:tc>
        <w:tc>
          <w:tcPr>
            <w:tcW w:type="dxa" w:w="1337"/>
            <w:shd w:fill="004D40"/>
            <w:tcMar>
              <w:top w:w="50" w:type="dxa"/>
              <w:bottom w:w="50" w:type="dxa"/>
              <w:left w:w="70" w:type="dxa"/>
              <w:right w:w="70" w:type="dxa"/>
            </w:tcMar>
          </w:tcPr>
          <w:p>
            <w:r>
              <w:rPr>
                <w:b/>
                <w:color w:val="FFFFFF"/>
                <w:sz w:val="17"/>
              </w:rPr>
              <w:t>Leverage (hi)</w:t>
            </w:r>
          </w:p>
        </w:tc>
        <w:tc>
          <w:tcPr>
            <w:tcW w:type="dxa" w:w="1337"/>
            <w:shd w:fill="004D40"/>
            <w:tcMar>
              <w:top w:w="50" w:type="dxa"/>
              <w:bottom w:w="50" w:type="dxa"/>
              <w:left w:w="70" w:type="dxa"/>
              <w:right w:w="70" w:type="dxa"/>
            </w:tcMar>
          </w:tcPr>
          <w:p>
            <w:r>
              <w:rPr>
                <w:b/>
                <w:color w:val="FFFFFF"/>
                <w:sz w:val="17"/>
              </w:rPr>
              <w:t>Vina Score (kcal/mol)</w:t>
            </w:r>
          </w:p>
        </w:tc>
        <w:tc>
          <w:tcPr>
            <w:tcW w:type="dxa" w:w="1337"/>
            <w:shd w:fill="004D40"/>
            <w:tcMar>
              <w:top w:w="50" w:type="dxa"/>
              <w:bottom w:w="50" w:type="dxa"/>
              <w:left w:w="70" w:type="dxa"/>
              <w:right w:w="70" w:type="dxa"/>
            </w:tcMar>
          </w:tcPr>
          <w:p>
            <w:r>
              <w:rPr>
                <w:b/>
                <w:color w:val="FFFFFF"/>
                <w:sz w:val="17"/>
              </w:rPr>
              <w:t>Ligand Efficiency</w:t>
            </w:r>
          </w:p>
        </w:tc>
      </w:tr>
      <w:tr>
        <w:tc>
          <w:tcPr>
            <w:tcW w:type="dxa" w:w="1337"/>
            <w:tcMar>
              <w:top w:w="35" w:type="dxa"/>
              <w:bottom w:w="35" w:type="dxa"/>
              <w:left w:w="50" w:type="dxa"/>
              <w:right w:w="50" w:type="dxa"/>
            </w:tcMar>
          </w:tcPr>
          <w:p>
            <w:r>
              <w:rPr>
                <w:sz w:val="16"/>
              </w:rPr>
              <w:t>Avapritinib</w:t>
            </w:r>
          </w:p>
        </w:tc>
        <w:tc>
          <w:tcPr>
            <w:tcW w:type="dxa" w:w="1337"/>
            <w:tcMar>
              <w:top w:w="35" w:type="dxa"/>
              <w:bottom w:w="35" w:type="dxa"/>
              <w:left w:w="50" w:type="dxa"/>
              <w:right w:w="50" w:type="dxa"/>
            </w:tcMar>
          </w:tcPr>
          <w:p>
            <w:r>
              <w:rPr>
                <w:sz w:val="16"/>
              </w:rPr>
              <w:t>-19.40</w:t>
            </w:r>
          </w:p>
        </w:tc>
        <w:tc>
          <w:tcPr>
            <w:tcW w:type="dxa" w:w="1337"/>
            <w:tcMar>
              <w:top w:w="35" w:type="dxa"/>
              <w:bottom w:w="35" w:type="dxa"/>
              <w:left w:w="50" w:type="dxa"/>
              <w:right w:w="50" w:type="dxa"/>
            </w:tcMar>
          </w:tcPr>
          <w:p>
            <w:r>
              <w:rPr>
                <w:sz w:val="16"/>
              </w:rPr>
              <w:t>-13.13</w:t>
            </w:r>
          </w:p>
        </w:tc>
        <w:tc>
          <w:tcPr>
            <w:tcW w:type="dxa" w:w="1337"/>
            <w:tcMar>
              <w:top w:w="35" w:type="dxa"/>
              <w:bottom w:w="35" w:type="dxa"/>
              <w:left w:w="50" w:type="dxa"/>
              <w:right w:w="50" w:type="dxa"/>
            </w:tcMar>
          </w:tcPr>
          <w:p>
            <w:r>
              <w:rPr>
                <w:sz w:val="16"/>
              </w:rPr>
              <w:t>-6.27</w:t>
            </w:r>
          </w:p>
        </w:tc>
        <w:tc>
          <w:tcPr>
            <w:tcW w:type="dxa" w:w="1337"/>
            <w:tcMar>
              <w:top w:w="35" w:type="dxa"/>
              <w:bottom w:w="35" w:type="dxa"/>
              <w:left w:w="50" w:type="dxa"/>
              <w:right w:w="50" w:type="dxa"/>
            </w:tcMar>
          </w:tcPr>
          <w:p>
            <w:r>
              <w:rPr>
                <w:sz w:val="16"/>
              </w:rPr>
              <w:t>0.400 (IN)</w:t>
            </w:r>
          </w:p>
        </w:tc>
        <w:tc>
          <w:tcPr>
            <w:tcW w:type="dxa" w:w="1337"/>
            <w:tcMar>
              <w:top w:w="35" w:type="dxa"/>
              <w:bottom w:w="35" w:type="dxa"/>
              <w:left w:w="50" w:type="dxa"/>
              <w:right w:w="50" w:type="dxa"/>
            </w:tcMar>
          </w:tcPr>
          <w:p>
            <w:r>
              <w:rPr>
                <w:sz w:val="16"/>
              </w:rPr>
              <w:t>-9.43</w:t>
            </w:r>
          </w:p>
        </w:tc>
        <w:tc>
          <w:tcPr>
            <w:tcW w:type="dxa" w:w="1337"/>
            <w:tcMar>
              <w:top w:w="35" w:type="dxa"/>
              <w:bottom w:w="35" w:type="dxa"/>
              <w:left w:w="50" w:type="dxa"/>
              <w:right w:w="50" w:type="dxa"/>
            </w:tcMar>
          </w:tcPr>
          <w:p>
            <w:r>
              <w:rPr>
                <w:sz w:val="16"/>
              </w:rPr>
              <w:t>0.255</w:t>
            </w:r>
          </w:p>
        </w:tc>
      </w:tr>
      <w:tr>
        <w:tc>
          <w:tcPr>
            <w:tcW w:type="dxa" w:w="1337"/>
            <w:tcMar>
              <w:top w:w="35" w:type="dxa"/>
              <w:bottom w:w="35" w:type="dxa"/>
              <w:left w:w="50" w:type="dxa"/>
              <w:right w:w="50" w:type="dxa"/>
            </w:tcMar>
          </w:tcPr>
          <w:p>
            <w:r>
              <w:rPr>
                <w:sz w:val="16"/>
              </w:rPr>
              <w:t>Futibatinib</w:t>
            </w:r>
          </w:p>
        </w:tc>
        <w:tc>
          <w:tcPr>
            <w:tcW w:type="dxa" w:w="1337"/>
            <w:tcMar>
              <w:top w:w="35" w:type="dxa"/>
              <w:bottom w:w="35" w:type="dxa"/>
              <w:left w:w="50" w:type="dxa"/>
              <w:right w:w="50" w:type="dxa"/>
            </w:tcMar>
          </w:tcPr>
          <w:p>
            <w:r>
              <w:rPr>
                <w:sz w:val="16"/>
              </w:rPr>
              <w:t>-16.02</w:t>
            </w:r>
          </w:p>
        </w:tc>
        <w:tc>
          <w:tcPr>
            <w:tcW w:type="dxa" w:w="1337"/>
            <w:tcMar>
              <w:top w:w="35" w:type="dxa"/>
              <w:bottom w:w="35" w:type="dxa"/>
              <w:left w:w="50" w:type="dxa"/>
              <w:right w:w="50" w:type="dxa"/>
            </w:tcMar>
          </w:tcPr>
          <w:p>
            <w:r>
              <w:rPr>
                <w:sz w:val="16"/>
              </w:rPr>
              <w:t>-16.39</w:t>
            </w:r>
          </w:p>
        </w:tc>
        <w:tc>
          <w:tcPr>
            <w:tcW w:type="dxa" w:w="1337"/>
            <w:tcMar>
              <w:top w:w="35" w:type="dxa"/>
              <w:bottom w:w="35" w:type="dxa"/>
              <w:left w:w="50" w:type="dxa"/>
              <w:right w:w="50" w:type="dxa"/>
            </w:tcMar>
          </w:tcPr>
          <w:p>
            <w:r>
              <w:rPr>
                <w:sz w:val="16"/>
              </w:rPr>
              <w:t>+0.37</w:t>
            </w:r>
          </w:p>
        </w:tc>
        <w:tc>
          <w:tcPr>
            <w:tcW w:type="dxa" w:w="1337"/>
            <w:tcMar>
              <w:top w:w="35" w:type="dxa"/>
              <w:bottom w:w="35" w:type="dxa"/>
              <w:left w:w="50" w:type="dxa"/>
              <w:right w:w="50" w:type="dxa"/>
            </w:tcMar>
          </w:tcPr>
          <w:p>
            <w:r>
              <w:rPr>
                <w:sz w:val="16"/>
              </w:rPr>
              <w:t>0.307 (IN)</w:t>
            </w:r>
          </w:p>
        </w:tc>
        <w:tc>
          <w:tcPr>
            <w:tcW w:type="dxa" w:w="1337"/>
            <w:tcMar>
              <w:top w:w="35" w:type="dxa"/>
              <w:bottom w:w="35" w:type="dxa"/>
              <w:left w:w="50" w:type="dxa"/>
              <w:right w:w="50" w:type="dxa"/>
            </w:tcMar>
          </w:tcPr>
          <w:p>
            <w:r>
              <w:rPr>
                <w:sz w:val="16"/>
              </w:rPr>
              <w:t>-9.04</w:t>
            </w:r>
          </w:p>
        </w:tc>
        <w:tc>
          <w:tcPr>
            <w:tcW w:type="dxa" w:w="1337"/>
            <w:tcMar>
              <w:top w:w="35" w:type="dxa"/>
              <w:bottom w:w="35" w:type="dxa"/>
              <w:left w:w="50" w:type="dxa"/>
              <w:right w:w="50" w:type="dxa"/>
            </w:tcMar>
          </w:tcPr>
          <w:p>
            <w:r>
              <w:rPr>
                <w:sz w:val="16"/>
              </w:rPr>
              <w:t>0.292</w:t>
            </w:r>
          </w:p>
        </w:tc>
      </w:tr>
      <w:tr>
        <w:tc>
          <w:tcPr>
            <w:tcW w:type="dxa" w:w="1337"/>
            <w:tcMar>
              <w:top w:w="35" w:type="dxa"/>
              <w:bottom w:w="35" w:type="dxa"/>
              <w:left w:w="50" w:type="dxa"/>
              <w:right w:w="50" w:type="dxa"/>
            </w:tcMar>
          </w:tcPr>
          <w:p>
            <w:r>
              <w:rPr>
                <w:sz w:val="16"/>
              </w:rPr>
              <w:t>Belumosudil</w:t>
            </w:r>
          </w:p>
        </w:tc>
        <w:tc>
          <w:tcPr>
            <w:tcW w:type="dxa" w:w="1337"/>
            <w:tcMar>
              <w:top w:w="35" w:type="dxa"/>
              <w:bottom w:w="35" w:type="dxa"/>
              <w:left w:w="50" w:type="dxa"/>
              <w:right w:w="50" w:type="dxa"/>
            </w:tcMar>
          </w:tcPr>
          <w:p>
            <w:r>
              <w:rPr>
                <w:sz w:val="16"/>
              </w:rPr>
              <w:t>-15.43</w:t>
            </w:r>
          </w:p>
        </w:tc>
        <w:tc>
          <w:tcPr>
            <w:tcW w:type="dxa" w:w="1337"/>
            <w:tcMar>
              <w:top w:w="35" w:type="dxa"/>
              <w:bottom w:w="35" w:type="dxa"/>
              <w:left w:w="50" w:type="dxa"/>
              <w:right w:w="50" w:type="dxa"/>
            </w:tcMar>
          </w:tcPr>
          <w:p>
            <w:r>
              <w:rPr>
                <w:sz w:val="16"/>
              </w:rPr>
              <w:t>-17.36</w:t>
            </w:r>
          </w:p>
        </w:tc>
        <w:tc>
          <w:tcPr>
            <w:tcW w:type="dxa" w:w="1337"/>
            <w:tcMar>
              <w:top w:w="35" w:type="dxa"/>
              <w:bottom w:w="35" w:type="dxa"/>
              <w:left w:w="50" w:type="dxa"/>
              <w:right w:w="50" w:type="dxa"/>
            </w:tcMar>
          </w:tcPr>
          <w:p>
            <w:r>
              <w:rPr>
                <w:sz w:val="16"/>
              </w:rPr>
              <w:t>+1.93</w:t>
            </w:r>
          </w:p>
        </w:tc>
        <w:tc>
          <w:tcPr>
            <w:tcW w:type="dxa" w:w="1337"/>
            <w:tcMar>
              <w:top w:w="35" w:type="dxa"/>
              <w:bottom w:w="35" w:type="dxa"/>
              <w:left w:w="50" w:type="dxa"/>
              <w:right w:w="50" w:type="dxa"/>
            </w:tcMar>
          </w:tcPr>
          <w:p>
            <w:r>
              <w:rPr>
                <w:sz w:val="16"/>
              </w:rPr>
              <w:t>0.355 (IN)</w:t>
            </w:r>
          </w:p>
        </w:tc>
        <w:tc>
          <w:tcPr>
            <w:tcW w:type="dxa" w:w="1337"/>
            <w:tcMar>
              <w:top w:w="35" w:type="dxa"/>
              <w:bottom w:w="35" w:type="dxa"/>
              <w:left w:w="50" w:type="dxa"/>
              <w:right w:w="50" w:type="dxa"/>
            </w:tcMar>
          </w:tcPr>
          <w:p>
            <w:r>
              <w:rPr>
                <w:sz w:val="16"/>
              </w:rPr>
              <w:t>-8.99</w:t>
            </w:r>
          </w:p>
        </w:tc>
        <w:tc>
          <w:tcPr>
            <w:tcW w:type="dxa" w:w="1337"/>
            <w:tcMar>
              <w:top w:w="35" w:type="dxa"/>
              <w:bottom w:w="35" w:type="dxa"/>
              <w:left w:w="50" w:type="dxa"/>
              <w:right w:w="50" w:type="dxa"/>
            </w:tcMar>
          </w:tcPr>
          <w:p>
            <w:r>
              <w:rPr>
                <w:sz w:val="16"/>
              </w:rPr>
              <w:t>0.264</w:t>
            </w:r>
          </w:p>
        </w:tc>
      </w:tr>
      <w:tr>
        <w:tc>
          <w:tcPr>
            <w:tcW w:type="dxa" w:w="1337"/>
            <w:tcMar>
              <w:top w:w="35" w:type="dxa"/>
              <w:bottom w:w="35" w:type="dxa"/>
              <w:left w:w="50" w:type="dxa"/>
              <w:right w:w="50" w:type="dxa"/>
            </w:tcMar>
          </w:tcPr>
          <w:p>
            <w:r>
              <w:rPr>
                <w:sz w:val="16"/>
              </w:rPr>
              <w:t>Capivasertib</w:t>
            </w:r>
          </w:p>
        </w:tc>
        <w:tc>
          <w:tcPr>
            <w:tcW w:type="dxa" w:w="1337"/>
            <w:tcMar>
              <w:top w:w="35" w:type="dxa"/>
              <w:bottom w:w="35" w:type="dxa"/>
              <w:left w:w="50" w:type="dxa"/>
              <w:right w:w="50" w:type="dxa"/>
            </w:tcMar>
          </w:tcPr>
          <w:p>
            <w:r>
              <w:rPr>
                <w:sz w:val="16"/>
              </w:rPr>
              <w:t>-12.01</w:t>
            </w:r>
          </w:p>
        </w:tc>
        <w:tc>
          <w:tcPr>
            <w:tcW w:type="dxa" w:w="1337"/>
            <w:tcMar>
              <w:top w:w="35" w:type="dxa"/>
              <w:bottom w:w="35" w:type="dxa"/>
              <w:left w:w="50" w:type="dxa"/>
              <w:right w:w="50" w:type="dxa"/>
            </w:tcMar>
          </w:tcPr>
          <w:p>
            <w:r>
              <w:rPr>
                <w:sz w:val="16"/>
              </w:rPr>
              <w:t>-21.43</w:t>
            </w:r>
          </w:p>
        </w:tc>
        <w:tc>
          <w:tcPr>
            <w:tcW w:type="dxa" w:w="1337"/>
            <w:tcMar>
              <w:top w:w="35" w:type="dxa"/>
              <w:bottom w:w="35" w:type="dxa"/>
              <w:left w:w="50" w:type="dxa"/>
              <w:right w:w="50" w:type="dxa"/>
            </w:tcMar>
          </w:tcPr>
          <w:p>
            <w:r>
              <w:rPr>
                <w:sz w:val="16"/>
              </w:rPr>
              <w:t>+9.42</w:t>
            </w:r>
          </w:p>
        </w:tc>
        <w:tc>
          <w:tcPr>
            <w:tcW w:type="dxa" w:w="1337"/>
            <w:tcMar>
              <w:top w:w="35" w:type="dxa"/>
              <w:bottom w:w="35" w:type="dxa"/>
              <w:left w:w="50" w:type="dxa"/>
              <w:right w:w="50" w:type="dxa"/>
            </w:tcMar>
          </w:tcPr>
          <w:p>
            <w:r>
              <w:rPr>
                <w:sz w:val="16"/>
              </w:rPr>
              <w:t>0.411 (IN)</w:t>
            </w:r>
          </w:p>
        </w:tc>
        <w:tc>
          <w:tcPr>
            <w:tcW w:type="dxa" w:w="1337"/>
            <w:tcMar>
              <w:top w:w="35" w:type="dxa"/>
              <w:bottom w:w="35" w:type="dxa"/>
              <w:left w:w="50" w:type="dxa"/>
              <w:right w:w="50" w:type="dxa"/>
            </w:tcMar>
          </w:tcPr>
          <w:p>
            <w:r>
              <w:rPr>
                <w:sz w:val="16"/>
              </w:rPr>
              <w:t>-7.82</w:t>
            </w:r>
          </w:p>
        </w:tc>
        <w:tc>
          <w:tcPr>
            <w:tcW w:type="dxa" w:w="1337"/>
            <w:tcMar>
              <w:top w:w="35" w:type="dxa"/>
              <w:bottom w:w="35" w:type="dxa"/>
              <w:left w:w="50" w:type="dxa"/>
              <w:right w:w="50" w:type="dxa"/>
            </w:tcMar>
          </w:tcPr>
          <w:p>
            <w:r>
              <w:rPr>
                <w:sz w:val="16"/>
              </w:rPr>
              <w:t>0.270</w:t>
            </w:r>
          </w:p>
        </w:tc>
      </w:tr>
      <w:tr>
        <w:tc>
          <w:tcPr>
            <w:tcW w:type="dxa" w:w="1337"/>
            <w:tcMar>
              <w:top w:w="35" w:type="dxa"/>
              <w:bottom w:w="35" w:type="dxa"/>
              <w:left w:w="50" w:type="dxa"/>
              <w:right w:w="50" w:type="dxa"/>
            </w:tcMar>
          </w:tcPr>
          <w:p>
            <w:r>
              <w:rPr>
                <w:sz w:val="16"/>
              </w:rPr>
              <w:t>Pimicotinib</w:t>
            </w:r>
          </w:p>
        </w:tc>
        <w:tc>
          <w:tcPr>
            <w:tcW w:type="dxa" w:w="1337"/>
            <w:tcMar>
              <w:top w:w="35" w:type="dxa"/>
              <w:bottom w:w="35" w:type="dxa"/>
              <w:left w:w="50" w:type="dxa"/>
              <w:right w:w="50" w:type="dxa"/>
            </w:tcMar>
          </w:tcPr>
          <w:p>
            <w:r>
              <w:rPr>
                <w:sz w:val="16"/>
              </w:rPr>
              <w:t>-13.88</w:t>
            </w:r>
          </w:p>
        </w:tc>
        <w:tc>
          <w:tcPr>
            <w:tcW w:type="dxa" w:w="1337"/>
            <w:tcMar>
              <w:top w:w="35" w:type="dxa"/>
              <w:bottom w:w="35" w:type="dxa"/>
              <w:left w:w="50" w:type="dxa"/>
              <w:right w:w="50" w:type="dxa"/>
            </w:tcMar>
          </w:tcPr>
          <w:p>
            <w:r>
              <w:rPr>
                <w:sz w:val="16"/>
              </w:rPr>
              <w:t>-14.99</w:t>
            </w:r>
          </w:p>
        </w:tc>
        <w:tc>
          <w:tcPr>
            <w:tcW w:type="dxa" w:w="1337"/>
            <w:tcMar>
              <w:top w:w="35" w:type="dxa"/>
              <w:bottom w:w="35" w:type="dxa"/>
              <w:left w:w="50" w:type="dxa"/>
              <w:right w:w="50" w:type="dxa"/>
            </w:tcMar>
          </w:tcPr>
          <w:p>
            <w:r>
              <w:rPr>
                <w:sz w:val="16"/>
              </w:rPr>
              <w:t>+1.11</w:t>
            </w:r>
          </w:p>
        </w:tc>
        <w:tc>
          <w:tcPr>
            <w:tcW w:type="dxa" w:w="1337"/>
            <w:tcMar>
              <w:top w:w="35" w:type="dxa"/>
              <w:bottom w:w="35" w:type="dxa"/>
              <w:left w:w="50" w:type="dxa"/>
              <w:right w:w="50" w:type="dxa"/>
            </w:tcMar>
          </w:tcPr>
          <w:p>
            <w:r>
              <w:rPr>
                <w:sz w:val="16"/>
              </w:rPr>
              <w:t>0.327 (IN)</w:t>
            </w:r>
          </w:p>
        </w:tc>
        <w:tc>
          <w:tcPr>
            <w:tcW w:type="dxa" w:w="1337"/>
            <w:tcMar>
              <w:top w:w="35" w:type="dxa"/>
              <w:bottom w:w="35" w:type="dxa"/>
              <w:left w:w="50" w:type="dxa"/>
              <w:right w:w="50" w:type="dxa"/>
            </w:tcMar>
          </w:tcPr>
          <w:p>
            <w:r>
              <w:rPr>
                <w:sz w:val="16"/>
              </w:rPr>
              <w:t>-7.64</w:t>
            </w:r>
          </w:p>
        </w:tc>
        <w:tc>
          <w:tcPr>
            <w:tcW w:type="dxa" w:w="1337"/>
            <w:tcMar>
              <w:top w:w="35" w:type="dxa"/>
              <w:bottom w:w="35" w:type="dxa"/>
              <w:left w:w="50" w:type="dxa"/>
              <w:right w:w="50" w:type="dxa"/>
            </w:tcMar>
          </w:tcPr>
          <w:p>
            <w:r>
              <w:rPr>
                <w:sz w:val="16"/>
              </w:rPr>
              <w:t>0.273</w:t>
            </w:r>
          </w:p>
        </w:tc>
      </w:tr>
    </w:tbl>
    <w:p>
      <w:pPr>
        <w:spacing w:before="160" w:after="60"/>
        <w:jc w:val="center"/>
      </w:pPr>
      <w:r>
        <w:drawing>
          <wp:inline xmlns:a="http://schemas.openxmlformats.org/drawingml/2006/main" xmlns:pic="http://schemas.openxmlformats.org/drawingml/2006/picture">
            <wp:extent cx="5669280" cy="2943525"/>
            <wp:docPr id="5" name="Picture 5"/>
            <wp:cNvGraphicFramePr>
              <a:graphicFrameLocks noChangeAspect="1"/>
            </wp:cNvGraphicFramePr>
            <a:graphic>
              <a:graphicData uri="http://schemas.openxmlformats.org/drawingml/2006/picture">
                <pic:pic>
                  <pic:nvPicPr>
                    <pic:cNvPr id="0" name="fig9_kras_virtual_screening_distribution.png"/>
                    <pic:cNvPicPr/>
                  </pic:nvPicPr>
                  <pic:blipFill>
                    <a:blip r:embed="rId13"/>
                    <a:stretch>
                      <a:fillRect/>
                    </a:stretch>
                  </pic:blipFill>
                  <pic:spPr>
                    <a:xfrm>
                      <a:off x="0" y="0"/>
                      <a:ext cx="5669280" cy="2943525"/>
                    </a:xfrm>
                    <a:prstGeom prst="rect"/>
                  </pic:spPr>
                </pic:pic>
              </a:graphicData>
            </a:graphic>
          </wp:inline>
        </w:drawing>
      </w:r>
    </w:p>
    <w:p>
      <w:pPr>
        <w:spacing w:after="200" w:line="276" w:lineRule="auto"/>
      </w:pPr>
      <w:r>
        <w:rPr>
          <w:b/>
          <w:color w:val="004D40"/>
          <w:sz w:val="18"/>
        </w:rPr>
        <w:t xml:space="preserve">Figure 4: </w:t>
      </w:r>
      <w:r>
        <w:rPr>
          <w:i/>
          <w:sz w:val="18"/>
        </w:rPr>
        <w:t xml:space="preserve"> Multi-Objective Evaluation of Prioritized Leads and Benchmark Controls from the 350-Compound Virtual Screen: (a) AutoDock Vina binding scores on PDB 7RPZ comparing prioritized leads against benchmark controls; (b) Size-normalized ligand-efficiency comparison across prioritized leads and controls.</w:t>
      </w:r>
    </w:p>
    <w:p>
      <w:pPr>
        <w:spacing w:before="160" w:after="60"/>
        <w:jc w:val="center"/>
      </w:pPr>
      <w:r>
        <w:drawing>
          <wp:inline xmlns:a="http://schemas.openxmlformats.org/drawingml/2006/main" xmlns:pic="http://schemas.openxmlformats.org/drawingml/2006/picture">
            <wp:extent cx="5669280" cy="1894952"/>
            <wp:docPr id="6" name="Picture 6"/>
            <wp:cNvGraphicFramePr>
              <a:graphicFrameLocks noChangeAspect="1"/>
            </wp:cNvGraphicFramePr>
            <a:graphic>
              <a:graphicData uri="http://schemas.openxmlformats.org/drawingml/2006/picture">
                <pic:pic>
                  <pic:nvPicPr>
                    <pic:cNvPr id="0" name="fig10_atomistic_multiscale_final.jpg"/>
                    <pic:cNvPicPr/>
                  </pic:nvPicPr>
                  <pic:blipFill>
                    <a:blip r:embed="rId14"/>
                    <a:stretch>
                      <a:fillRect/>
                    </a:stretch>
                  </pic:blipFill>
                  <pic:spPr>
                    <a:xfrm>
                      <a:off x="0" y="0"/>
                      <a:ext cx="5669280" cy="1894952"/>
                    </a:xfrm>
                    <a:prstGeom prst="rect"/>
                  </pic:spPr>
                </pic:pic>
              </a:graphicData>
            </a:graphic>
          </wp:inline>
        </w:drawing>
      </w:r>
    </w:p>
    <w:p>
      <w:pPr>
        <w:spacing w:after="200" w:line="276" w:lineRule="auto"/>
      </w:pPr>
      <w:r>
        <w:rPr>
          <w:b/>
          <w:color w:val="004D40"/>
          <w:sz w:val="18"/>
        </w:rPr>
        <w:t xml:space="preserve">Figure 5: </w:t>
      </w:r>
      <w:r>
        <w:rPr>
          <w:i/>
          <w:sz w:val="18"/>
        </w:rPr>
        <w:t xml:space="preserve"> Multi-scale structural context and real GFN2-xTB interfacial energetics (schematic cards; the reported values are GFN2-xTB output, not a rendered structure): (a) MRTX1133 in the KRAS-G12D Switch II allosteric cleft (PDB ID: 7RPZ, 1.30 Å), with the ionic salt-bridge to mutant Asp12 (OD2 = 2.70 Å from the crystallographic coordinates); (b) pristine finite planar g-C3N4 cluster (C21N21H6, 48 atoms), MRTX1133 in standardized parallel stacking (initial separation z = 3.35 Å), real Delta_E_ads = -35.03 kcal/mol and interfacial charge transfer Delta_Q = +0.19 e; (c) B/P co-doped cluster (C20B1N20P1H6), real Delta_E_ads = -35.04 kcal/mol, Delta_Q = +0.15 e, GFN2-xTB dopant partial charges q(B) = +0.36 e and q(P) = -0.20 e.</w:t>
      </w:r>
    </w:p>
    <w:p>
      <w:pPr>
        <w:pStyle w:val="Heading2"/>
        <w:keepNext/>
        <w:spacing w:before="280" w:after="100"/>
      </w:pPr>
      <w:r>
        <w:rPr>
          <w:rFonts w:ascii="Times New Roman" w:hAnsi="Times New Roman"/>
          <w:b/>
          <w:color w:val="00695C"/>
          <w:sz w:val="22"/>
        </w:rPr>
        <w:t>3.6 Structural Biology of KRAS-G12D and Drug Resistance Context</w:t>
      </w:r>
    </w:p>
    <w:p>
      <w:r>
        <w:t>The Switch II allosteric cleft of KRAS-G12D represents a pharmacologically unique binding site whose geometry is exquisitely sensitive to the conformational equilibrium between active GTP-bound (State 1/State 2) and inactive GDP-bound states [1, 4, 55]. In the GDP-bound inactive conformation captured in PDB 7RPZ, Switch II adopts a partially open topology that exposes a shallow hydrophobic groove flanked by Tyr96 (aromatic cap), His95 (histidine lining), and Glu62/Arg68 (ionic rim). The G12D mutation introduces a negatively charged carboxylate at position 12 that is not present in wild-type KRAS, creating a unique electrostatic anchor for non-covalent inhibitors bearing basic amine moieties—this is the fundamental pharmacophore exploited by MRTX1133 [1, 2]. Critically, acquired resistance mutations at KRAS (e.g., Y96D, H95Q, R68S) directly disrupt the very residues that constitute the Switch II pocket architecture (Figure 5a),underscoring the importance of understanding multi-residue coordination rather than single-point docking scores. Our structural interaction network identifies the complete interaction fingerprint, providing a structural basis for anticipating resistance-driven binding loss.</w:t>
      </w:r>
    </w:p>
    <w:p>
      <w:pPr>
        <w:pStyle w:val="Heading2"/>
        <w:keepNext/>
        <w:spacing w:before="280" w:after="100"/>
      </w:pPr>
      <w:r>
        <w:rPr>
          <w:rFonts w:ascii="Times New Roman" w:hAnsi="Times New Roman"/>
          <w:b/>
          <w:color w:val="00695C"/>
          <w:sz w:val="22"/>
        </w:rPr>
        <w:t>3.7 Effect of B/P Substitution on Drug–Carrier Molecular Interaction Profiles</w:t>
      </w:r>
    </w:p>
    <w:p>
      <w:r>
        <w:t>The standardized electronic interaction energies obtained via GFN2-xTB simulations warrant deeper physical interpretation. Boron substitution at carbon sites (q_B = +0.3494 e) introduces localized Lewis acid centers that modify frontier-orbital energies and the local electrostatic environment of the nanosheet, facilitating charge-transfer interactions with electron-rich aromatic drug scaffolds [16, 17]. Conversely, phosphorus substitution at nitrogen sites (q_P = -0.1679 e) introduces localized electron-donor regions that generate an interfacial electrostatic dipole gradient across the 2D surface. The synergistic combination of B (delta+) and P (delta-) dopants creates localized polarization fields that modulate interfacial charge transfer (Delta_Q up to +0.65 e across the cohort; for MRTX1133 specifically: Delta_Q = +0.15 e, vs. +0.19 e on the pristine carrier). Importantly, the overall interaction energetics are only modestly affected by B/P co-doping: for MRTX1133, Delta_E_int,std changes from -35.03 kcal/mol (pristine) to -35.04 kcal/mol (B/P co-doped, C20B1N20P1H6), indicating that B/P co-doping primarily redistributes interfacial polarization rather than producing large energetic enhancements. From an engineering perspective, the primary role of B/P co-doping appears to be modulating local charge density and surface wettability, which may influence drug retention under physiological conditions independently of gas-phase interaction energetics [20].</w:t>
      </w:r>
    </w:p>
    <w:p>
      <w:pPr>
        <w:pStyle w:val="Heading2"/>
        <w:keepNext/>
        <w:spacing w:before="280" w:after="100"/>
      </w:pPr>
      <w:r>
        <w:rPr>
          <w:rFonts w:ascii="Times New Roman" w:hAnsi="Times New Roman"/>
          <w:b/>
          <w:color w:val="00695C"/>
          <w:sz w:val="22"/>
        </w:rPr>
        <w:t>3.8 Critical Evaluation of Translational Limitations</w:t>
      </w:r>
    </w:p>
    <w:p>
      <w:r>
        <w:t>While multi-scale computational modeling provides invaluable atomistic insights, several translational limitations must be explicitly acknowledged. First, tight-binding GFN2-xTB calculates standardized electronic interaction energies (Delta_E_int,std) in gas phase or implicit environments at fixed interplanar stacking distance (z = 3.35 Å); physiological delivery in PDAC involves competition with water solvation shells, serum albumin corona formation, and opsonization-driven clearance by the mononuclear phagocyte system [45, 48]. Second, the g-C3N4 nanocarrier model employed for the master cohort is a finite 48-atom planar cluster (C21N21H6, based on tri-s-triazine heptazine units; detailed topology and atom coordinates in SI Section S1); HOMO-LUMO gaps and frontier orbital energies reported for this cluster are molecular properties of the finite model rather than periodic band gaps of an infinite solid. The calculated electronic interaction energies represent supramolecular vertical interaction energies evaluated at the standardized interplanar distance (z = 3.35 Å), distinct from the fully relaxed equilibrium minimum (d_pi-pi ≈ 3.25 Å) obtained in unconstrained planar optimizations. Future investigations employing periodic boundary conditions (PBC) and plane-wave DFT will further refine solid-state band edge alignments and eliminate finite-cluster boundary constraints. Third, while g-C3N4 possesses favorable biocompatibility, in-vivo clearance and oxidative biodegradation mediated by peroxidase-rich immune microenvironments (such as myeloperoxidase, MPO) [67] will depend on nanomaterial lateral flake dimensions and surface functionalization. Fourth, AutoDock Vina employs a rigid receptor approximation that cannot capture induced-fit conformational changes in Switch II upon ligand binding; molecular dynamics or ensemble docking approaches would be needed to account for pocket plasticity. Fifth, nanocarrier lateral dimensions and surface chemistry would require systematic optimization for blood circulation, stromal transport, and cellular uptake. Finally, overcoming dense desmoplastic extracellular matrix barriers necessitates future in-vitro 3D pancreatic spheroid assays and in-vivo pharmacokinetic/pharmacodynamic evaluation in orthotopic murine PDAC models.</w:t>
      </w:r>
    </w:p>
    <w:p>
      <w:pPr>
        <w:pStyle w:val="Heading1"/>
        <w:keepNext/>
        <w:spacing w:before="280" w:after="100"/>
      </w:pPr>
      <w:r>
        <w:rPr>
          <w:rFonts w:ascii="Times New Roman" w:hAnsi="Times New Roman"/>
          <w:b/>
          <w:color w:val="004D40"/>
          <w:sz w:val="26"/>
        </w:rPr>
        <w:t>4. Conclusions</w:t>
      </w:r>
    </w:p>
    <w:p>
      <w:r>
        <w:t>In this study, we established an integrated computational chemistry, cheminformatics, and molecular screening investigation of KRAS-G12D allosteric inhibitors across graphitic carbon nitride (g-C3N4) interaction templates. Our findings demonstrate that: (1) Molecular docking on the ultra-high resolution crystal structure of KRAS-G12D (PDB ID: 7RPZ, 1.30 Å) reproduces the native MRTX1133 binding pose with a heavy-atom RMSD of 1.419 Å, validating docking protocol pose recovery; (2) Switch II allosteric pocket docking exhibits descriptive differences consistent with state- and mechanism-dependent structural pharmacology (omnibus Kruskal-Wallis H = 5.763, p = 0.1237), where tri-complex active-state inhibitors (RMC-6236) and covalent G12C compounds require distinct multi-protein contexts; (3) GFN2-xTB calculations across 38 molecules and 4 nanocarriers confirm favorable non-covalent interaction (Delta_E_int,std = -4.98 to -39.89 kcal/mol at standardized z = 3.35 Å), with B/P co-doping (C20B1N20P1H6) primarily modifying interfacial charge polarization (Delta_Q = +0.15 e for MRTX1133, vs. +0.19 e on the pristine carrier) rather than substantially altering interaction energetics; (4) A leak-free nested 5x5 surrogate QSPR model structured under OECD Principles 1-5 (Table S3) and verified by 1,000 Y-scrambling permutations (nested Q²_CV = +0.584 vs Q²_scrambled = -0.12, p = 0.001) successfully prioritizes clinical-stage DrugBank oncology leads; prospective quantum confirmation showed informative predictive performance (MAE = 3.82 kcal/mol) and favorable predicted Switch II pocket compatibility (LE = 0.255 to 0.292 kcal/mol/atom). This work provides an auditable theoretical foundation for exploring molecular diversity in mutant KRAS drug discovery.</w:t>
      </w:r>
    </w:p>
    <w:p>
      <w:pPr>
        <w:pStyle w:val="Heading1"/>
        <w:keepNext/>
        <w:spacing w:before="280" w:after="100"/>
      </w:pPr>
      <w:r>
        <w:rPr>
          <w:rFonts w:ascii="Times New Roman" w:hAnsi="Times New Roman"/>
          <w:b/>
          <w:color w:val="004D40"/>
          <w:sz w:val="26"/>
        </w:rPr>
        <w:t>Data and Code Availability</w:t>
      </w:r>
    </w:p>
    <w:p>
      <w:r>
        <w:t>All computational scripts, raw docking coordinates (PDBQT), GFN2-xTB quantum chemistry logs, descriptor matrices, and surrogate QSPR models are fully open-source and reproducible under the MIT license via the project repository:</w:t>
        <w:br/>
        <w:t>• Primary Public Repository: https://github.com/sircalch/kras-pancreatic-gc3n4-ai (latest release)</w:t>
        <w:br/>
        <w:t>• Permanent Archival DOI: Zenodo Repository DOI: 10.5281/zenodo.22187819 (concept DOI, always resolves to the latest archived version)</w:t>
      </w:r>
    </w:p>
    <w:p>
      <w:pPr>
        <w:pStyle w:val="Heading1"/>
        <w:keepNext/>
        <w:spacing w:before="280" w:after="100"/>
      </w:pPr>
      <w:r>
        <w:rPr>
          <w:rFonts w:ascii="Times New Roman" w:hAnsi="Times New Roman"/>
          <w:b/>
          <w:color w:val="004D40"/>
          <w:sz w:val="26"/>
        </w:rPr>
        <w:t>Conflict of Interest</w:t>
      </w:r>
    </w:p>
    <w:p>
      <w:r>
        <w:t>The authors declare no competing financial or non-financial interests.</w:t>
      </w:r>
    </w:p>
    <w:p>
      <w:pPr>
        <w:pStyle w:val="Heading1"/>
        <w:keepNext/>
        <w:spacing w:before="280" w:after="100"/>
      </w:pPr>
      <w:r>
        <w:rPr>
          <w:rFonts w:ascii="Times New Roman" w:hAnsi="Times New Roman"/>
          <w:b/>
          <w:color w:val="004D40"/>
          <w:sz w:val="26"/>
        </w:rPr>
        <w:t>References</w:t>
      </w:r>
    </w:p>
    <w:p>
      <w:pPr>
        <w:spacing w:after="60"/>
        <w:ind w:left="576"/>
      </w:pPr>
      <w:r>
        <w:rPr>
          <w:b/>
        </w:rPr>
        <w:t xml:space="preserve">1. </w:t>
      </w:r>
      <w:r>
        <w:t xml:space="preserve">Wang, X.; Allen, S.; Blake, J. F.; Bowcut, V.; Briere, D. M.; Calinisan, A.; Dahlke, J. R.; Fell, J. B.; Fischer, J. P.; Gunn, R. J.; et al. Identification of MRTX1133, a Noncovalent, Potent, and Selective KRAS G12D Inhibitor. Journal of Medicinal Chemistry 2021, 65 (4), 3123-3133. </w:t>
      </w:r>
      <w:r>
        <w:rPr>
          <w:i/>
          <w:color w:val="004D40"/>
          <w:sz w:val="18"/>
        </w:rPr>
        <w:t>doi:10.1021/acs.jmedchem.1c01688</w:t>
      </w:r>
    </w:p>
    <w:p>
      <w:pPr>
        <w:spacing w:after="60"/>
        <w:ind w:left="576"/>
      </w:pPr>
      <w:r>
        <w:rPr>
          <w:b/>
        </w:rPr>
        <w:t xml:space="preserve">2. </w:t>
      </w:r>
      <w:r>
        <w:t xml:space="preserve">Hallin, J.; Bowcut, V.; Calinisan, A.; Briere, D. M.; Hargis, L.; Engstrom, L. D.; Laguer, J.; Medwid, J.; Vanderpool, D.; Lifset, E.; et al. Anti-tumor efficacy of a potent and selective non-covalent KRASG12D inhibitor. Nature Medicine 2022, 28 (10), 2171-2182. </w:t>
      </w:r>
      <w:r>
        <w:rPr>
          <w:i/>
          <w:color w:val="004D40"/>
          <w:sz w:val="18"/>
        </w:rPr>
        <w:t>doi:10.1038/s41591-022-02007-7</w:t>
      </w:r>
    </w:p>
    <w:p>
      <w:pPr>
        <w:spacing w:after="60"/>
        <w:ind w:left="576"/>
      </w:pPr>
      <w:r>
        <w:rPr>
          <w:b/>
        </w:rPr>
        <w:t xml:space="preserve">3. </w:t>
      </w:r>
      <w:r>
        <w:t xml:space="preserve">Kemp, S. B.; Cheng, N.; Markosyan, N.; Sor, R.; Kim, I. K.; Hallin, J.; Shoush, J.; Quinones, L.; Brown, N. V.; Bassett, J. B.; et al. Efficacy of a Small-Molecule Inhibitor of KrasG12D in Immunocompetent Models of Pancreatic Cancer. Cancer Discovery 2022, 13 (2), 298-311. </w:t>
      </w:r>
      <w:r>
        <w:rPr>
          <w:i/>
          <w:color w:val="004D40"/>
          <w:sz w:val="18"/>
        </w:rPr>
        <w:t>doi:10.1158/2159-8290.cd-22-1066</w:t>
      </w:r>
    </w:p>
    <w:p>
      <w:pPr>
        <w:spacing w:after="60"/>
        <w:ind w:left="576"/>
      </w:pPr>
      <w:r>
        <w:rPr>
          <w:b/>
        </w:rPr>
        <w:t xml:space="preserve">4. </w:t>
      </w:r>
      <w:r>
        <w:t xml:space="preserve">Canon, J.; Rex, K.; Saiki, A. Y.; Mohr, C.; Cooke, K.; Bagal, D.; Gaida, K.; Holt, T.; Knutson, C. G.; Koppada, N.; et al. The clinical KRAS(G12C) inhibitor AMG 510 drives anti-tumour immunity. Nature 2019, 575 (7781), 217-223. </w:t>
      </w:r>
      <w:r>
        <w:rPr>
          <w:i/>
          <w:color w:val="004D40"/>
          <w:sz w:val="18"/>
        </w:rPr>
        <w:t>doi:10.1038/s41586-019-1694-1</w:t>
      </w:r>
    </w:p>
    <w:p>
      <w:pPr>
        <w:spacing w:after="60"/>
        <w:ind w:left="576"/>
      </w:pPr>
      <w:r>
        <w:rPr>
          <w:b/>
        </w:rPr>
        <w:t xml:space="preserve">5. </w:t>
      </w:r>
      <w:r>
        <w:t xml:space="preserve">Punekar, S. R.; Velcheti, V.; Neel, B. G.; Wong, K. K. The current state of the art and future trends in RAS-targeted cancer therapies. Nature Reviews Clinical Oncology 2022, 19 (10), 637-655. </w:t>
      </w:r>
      <w:r>
        <w:rPr>
          <w:i/>
          <w:color w:val="004D40"/>
          <w:sz w:val="18"/>
        </w:rPr>
        <w:t>doi:10.1038/s41571-022-00671-9</w:t>
      </w:r>
    </w:p>
    <w:p>
      <w:pPr>
        <w:spacing w:after="60"/>
        <w:ind w:left="576"/>
      </w:pPr>
      <w:r>
        <w:rPr>
          <w:b/>
        </w:rPr>
        <w:t xml:space="preserve">6. </w:t>
      </w:r>
      <w:r>
        <w:t xml:space="preserve">Pushalkar, S.; Hundeyin, M.; Daley, D.; Zambirinis, C. P.; Kurz, E.; Mishra, A.; Mohan, N.; Aykut, B.; Usyk, M.; Torres, L. E.; et al. The Pancreatic Cancer Microbiome Promotes Oncogenesis by Induction of Innate and Adaptive Immune Suppression. Cancer Discovery 2018, 8 (4), 403-416. </w:t>
      </w:r>
      <w:r>
        <w:rPr>
          <w:i/>
          <w:color w:val="004D40"/>
          <w:sz w:val="18"/>
        </w:rPr>
        <w:t>doi:10.1158/2159-8290.cd-17-1134</w:t>
      </w:r>
    </w:p>
    <w:p>
      <w:pPr>
        <w:spacing w:after="60"/>
        <w:ind w:left="576"/>
      </w:pPr>
      <w:r>
        <w:rPr>
          <w:b/>
        </w:rPr>
        <w:t xml:space="preserve">7. </w:t>
      </w:r>
      <w:r>
        <w:t xml:space="preserve">Maitra, A.; Hruban, R. H. Pancreatic Cancer. Annual Review of Pathology: Mechanisms of Disease 2008, 3 (1), 157-188. </w:t>
      </w:r>
      <w:r>
        <w:rPr>
          <w:i/>
          <w:color w:val="004D40"/>
          <w:sz w:val="18"/>
        </w:rPr>
        <w:t>doi:10.1146/annurev.pathmechdis.3.121806.154305</w:t>
      </w:r>
    </w:p>
    <w:p>
      <w:pPr>
        <w:spacing w:after="60"/>
        <w:ind w:left="576"/>
      </w:pPr>
      <w:r>
        <w:rPr>
          <w:b/>
        </w:rPr>
        <w:t xml:space="preserve">8. </w:t>
      </w:r>
      <w:r>
        <w:t xml:space="preserve">Ryan, D. P.; Hong, T. S.; Bardeesy, N. Pancreatic Adenocarcinoma. New England Journal of Medicine 2014, 371 (11), 1039-1049. </w:t>
      </w:r>
      <w:r>
        <w:rPr>
          <w:i/>
          <w:color w:val="004D40"/>
          <w:sz w:val="18"/>
        </w:rPr>
        <w:t>doi:10.1056/nejmra1404198</w:t>
      </w:r>
    </w:p>
    <w:p>
      <w:pPr>
        <w:spacing w:after="60"/>
        <w:ind w:left="576"/>
      </w:pPr>
      <w:r>
        <w:rPr>
          <w:b/>
        </w:rPr>
        <w:t xml:space="preserve">9. </w:t>
      </w:r>
      <w:r>
        <w:t xml:space="preserve">Conroy, T.; Desseigne, F.; Ychou, M.; Bouché, O.; Guimbaud, R.; Bécouarn, Y.; Adenis, A.; Raoul, J. L.; Gourgou-Bourgade, S.; de la Fouchardière, C.; et al. FOLFIRINOX versus Gemcitabine for Metastatic Pancreatic Cancer. New England Journal of Medicine 2011, 364 (19), 1817-1825. </w:t>
      </w:r>
      <w:r>
        <w:rPr>
          <w:i/>
          <w:color w:val="004D40"/>
          <w:sz w:val="18"/>
        </w:rPr>
        <w:t>doi:10.1056/nejmoa1011923</w:t>
      </w:r>
    </w:p>
    <w:p>
      <w:pPr>
        <w:spacing w:after="60"/>
        <w:ind w:left="576"/>
      </w:pPr>
      <w:r>
        <w:rPr>
          <w:b/>
        </w:rPr>
        <w:t xml:space="preserve">10. </w:t>
      </w:r>
      <w:r>
        <w:t xml:space="preserve">Von Hoff, D. D.; Ervin, T.; Arena, F. P.; Chiorean, E. G.; Infante, J.; Moore, M.; Seay, T.; Tjulandin, S. A.; Ma, W. W.; Saleh, M. N.; et al. Increased Survival in Pancreatic Cancer with nab-Paclitaxel plus Gemcitabine. New England Journal of Medicine 2013, 369 (18), 1691-1703. </w:t>
      </w:r>
      <w:r>
        <w:rPr>
          <w:i/>
          <w:color w:val="004D40"/>
          <w:sz w:val="18"/>
        </w:rPr>
        <w:t>doi:10.1056/nejmoa1304369</w:t>
      </w:r>
    </w:p>
    <w:p>
      <w:pPr>
        <w:spacing w:after="60"/>
        <w:ind w:left="576"/>
      </w:pPr>
      <w:r>
        <w:rPr>
          <w:b/>
        </w:rPr>
        <w:t xml:space="preserve">11. </w:t>
      </w:r>
      <w:r>
        <w:t xml:space="preserve">Wang, X.; Maeda, K.; Thomas, A.; Takanabe, K.; Xin, G.; Carlsson, J. M.; Domen, K.; Antonietti, M. A metal-free polymeric photocatalyst for hydrogen production from water under visible light. Nature Materials 2008, 8 (1), 76-80. </w:t>
      </w:r>
      <w:r>
        <w:rPr>
          <w:i/>
          <w:color w:val="004D40"/>
          <w:sz w:val="18"/>
        </w:rPr>
        <w:t>doi:10.1038/nmat2317</w:t>
      </w:r>
    </w:p>
    <w:p>
      <w:pPr>
        <w:spacing w:after="60"/>
        <w:ind w:left="576"/>
      </w:pPr>
      <w:r>
        <w:rPr>
          <w:b/>
        </w:rPr>
        <w:t xml:space="preserve">12. </w:t>
      </w:r>
      <w:r>
        <w:t xml:space="preserve">Zheng, Y.; Liu, J.; Liang, J.; Jaroniec, M.; Qiao, S. Z. Graphitic carbon nitride materials: controllable synthesis and applications in fuel cells and photocatalysis. Energy &amp; Environmental Science 2012, 5 (5), 6717. </w:t>
      </w:r>
      <w:r>
        <w:rPr>
          <w:i/>
          <w:color w:val="004D40"/>
          <w:sz w:val="18"/>
        </w:rPr>
        <w:t>doi:10.1039/c2ee03479d</w:t>
      </w:r>
    </w:p>
    <w:p>
      <w:pPr>
        <w:spacing w:after="60"/>
        <w:ind w:left="576"/>
      </w:pPr>
      <w:r>
        <w:rPr>
          <w:b/>
        </w:rPr>
        <w:t xml:space="preserve">13. </w:t>
      </w:r>
      <w:r>
        <w:t xml:space="preserve">Ong, W. J.; Tan, L. L.; Ng, Y. H.; Yong, S. T.; Chai, S. P. Graphitic Carbon Nitride (g-C 3 N 4 )-Based Photocatalysts for Artificial Photosynthesis and Environmental Remediation: Are We a Step Closer To Achieving Sustainability?. Chemical Reviews 2016, 116 (12), 7159-7329. </w:t>
      </w:r>
      <w:r>
        <w:rPr>
          <w:i/>
          <w:color w:val="004D40"/>
          <w:sz w:val="18"/>
        </w:rPr>
        <w:t>doi:10.1021/acs.chemrev.6b00075</w:t>
      </w:r>
    </w:p>
    <w:p>
      <w:pPr>
        <w:spacing w:after="60"/>
        <w:ind w:left="576"/>
      </w:pPr>
      <w:r>
        <w:rPr>
          <w:b/>
        </w:rPr>
        <w:t xml:space="preserve">14. </w:t>
      </w:r>
      <w:r>
        <w:t xml:space="preserve">Lin, L.; Song, J.; Yang, H.; Chen, X. Yolk–Shell Nanostructures: Design, Synthesis, and Biomedical Applications. Advanced Materials 2017, 30 (6). </w:t>
      </w:r>
      <w:r>
        <w:rPr>
          <w:i/>
          <w:color w:val="004D40"/>
          <w:sz w:val="18"/>
        </w:rPr>
        <w:t>doi:10.1002/adma.201704639</w:t>
      </w:r>
    </w:p>
    <w:p>
      <w:pPr>
        <w:spacing w:after="60"/>
        <w:ind w:left="576"/>
      </w:pPr>
      <w:r>
        <w:rPr>
          <w:b/>
        </w:rPr>
        <w:t xml:space="preserve">15. </w:t>
      </w:r>
      <w:r>
        <w:t xml:space="preserve">Feng, L.; He, F.; Yang, G.; Gai, S.; Dai, Y.; Li, C.; Yang, P. NIR-driven graphitic-phase carbon nitride nanosheets for efficient bioimaging and photodynamic therapy. Journal of Materials Chemistry B 2016, 4 (48), 8000-8008. </w:t>
      </w:r>
      <w:r>
        <w:rPr>
          <w:i/>
          <w:color w:val="004D40"/>
          <w:sz w:val="18"/>
        </w:rPr>
        <w:t>doi:10.1039/c6tb02232d</w:t>
      </w:r>
    </w:p>
    <w:p>
      <w:pPr>
        <w:spacing w:after="60"/>
        <w:ind w:left="576"/>
      </w:pPr>
      <w:r>
        <w:rPr>
          <w:b/>
        </w:rPr>
        <w:t xml:space="preserve">16. </w:t>
      </w:r>
      <w:r>
        <w:t xml:space="preserve">Babu Ganganboina, A.; Dung Nguyen, M.; Hien Luong Nguyen, T.; Prasetyo Kuncoro, E.; Doong, R. A. Boron and phosphorus co-doped one-dimensional graphitic carbon nitride for enhanced visible-light-driven photodegradation of diclofenac. Chemical Engineering Journal 2021, 425, 131520. </w:t>
      </w:r>
      <w:r>
        <w:rPr>
          <w:i/>
          <w:color w:val="004D40"/>
          <w:sz w:val="18"/>
        </w:rPr>
        <w:t>doi:10.1016/j.cej.2021.131520</w:t>
      </w:r>
    </w:p>
    <w:p>
      <w:pPr>
        <w:spacing w:after="60"/>
        <w:ind w:left="576"/>
      </w:pPr>
      <w:r>
        <w:rPr>
          <w:b/>
        </w:rPr>
        <w:t xml:space="preserve">17. </w:t>
      </w:r>
      <w:r>
        <w:t xml:space="preserve">Zhang, J.; Zhang, G.; Chen, X.; Lin, S.; Möhlmann, L.; Dołęga, G.; Lipner, G.; Antonietti, M.; Blechert, S.; Wang, X. Co‐Monomer Control of Carbon Nitride Semiconductors to Optimize Hydrogen Evolution with Visible Light. Angewandte Chemie International Edition 2012, 51 (13), 3183-3187. </w:t>
      </w:r>
      <w:r>
        <w:rPr>
          <w:i/>
          <w:color w:val="004D40"/>
          <w:sz w:val="18"/>
        </w:rPr>
        <w:t>doi:10.1002/anie.201106656</w:t>
      </w:r>
    </w:p>
    <w:p>
      <w:pPr>
        <w:spacing w:after="60"/>
        <w:ind w:left="576"/>
      </w:pPr>
      <w:r>
        <w:rPr>
          <w:b/>
        </w:rPr>
        <w:t xml:space="preserve">18. </w:t>
      </w:r>
      <w:r>
        <w:t xml:space="preserve">Cao, S.; Low, J.; Yu, J.; Jaroniec, M. Polymeric Photocatalysts Based on Graphitic Carbon Nitride. Advanced Materials 2015, 27 (13), 2150-2176. </w:t>
      </w:r>
      <w:r>
        <w:rPr>
          <w:i/>
          <w:color w:val="004D40"/>
          <w:sz w:val="18"/>
        </w:rPr>
        <w:t>doi:10.1002/adma.201500033</w:t>
      </w:r>
    </w:p>
    <w:p>
      <w:pPr>
        <w:spacing w:after="60"/>
        <w:ind w:left="576"/>
      </w:pPr>
      <w:r>
        <w:rPr>
          <w:b/>
        </w:rPr>
        <w:t xml:space="preserve">19. </w:t>
      </w:r>
      <w:r>
        <w:t xml:space="preserve">Pourmadadi, M.; Rahmani, E.; Eshaghi, M. M.; Shamsabadipour, A.; Ghotekar, S.; Rahdar, A.; Romanholo Ferreira, L. F. Graphitic carbon nitride (g-C3N4) synthesis methods, surface functionalization, and drug delivery applications: A review. Journal of Drug Delivery Science and Technology 2023, 79, 104001. </w:t>
      </w:r>
      <w:r>
        <w:rPr>
          <w:i/>
          <w:color w:val="004D40"/>
          <w:sz w:val="18"/>
        </w:rPr>
        <w:t>doi:10.1016/j.jddst.2022.104001</w:t>
      </w:r>
    </w:p>
    <w:p>
      <w:pPr>
        <w:spacing w:after="60"/>
        <w:ind w:left="576"/>
      </w:pPr>
      <w:r>
        <w:rPr>
          <w:b/>
        </w:rPr>
        <w:t xml:space="preserve">20. </w:t>
      </w:r>
      <w:r>
        <w:t xml:space="preserve">Liu, L.; Du, X. Polyethylenimine-modified graphitic carbon nitride nanosheets: a label-free Raman traceable siRNA delivery system. Journal of Materials Chemistry B 2021, 9 (34), 6895-6901. </w:t>
      </w:r>
      <w:r>
        <w:rPr>
          <w:i/>
          <w:color w:val="004D40"/>
          <w:sz w:val="18"/>
        </w:rPr>
        <w:t>doi:10.1039/d1tb00984b</w:t>
      </w:r>
    </w:p>
    <w:p>
      <w:pPr>
        <w:spacing w:after="60"/>
        <w:ind w:left="576"/>
      </w:pPr>
      <w:r>
        <w:rPr>
          <w:b/>
        </w:rPr>
        <w:t xml:space="preserve">21.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04D40"/>
          <w:sz w:val="18"/>
        </w:rPr>
        <w:t>doi:10.1021/acs.jctc.8b01176</w:t>
      </w:r>
    </w:p>
    <w:p>
      <w:pPr>
        <w:spacing w:after="60"/>
        <w:ind w:left="576"/>
      </w:pPr>
      <w:r>
        <w:rPr>
          <w:b/>
        </w:rPr>
        <w:t xml:space="preserve">22.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004D40"/>
          <w:sz w:val="18"/>
        </w:rPr>
        <w:t>doi:10.1021/acs.jctc.7b00118</w:t>
      </w:r>
    </w:p>
    <w:p>
      <w:pPr>
        <w:spacing w:after="60"/>
        <w:ind w:left="576"/>
      </w:pPr>
      <w:r>
        <w:rPr>
          <w:b/>
        </w:rPr>
        <w:t xml:space="preserve">23. </w:t>
      </w:r>
      <w:r>
        <w:t xml:space="preserve">Caldeweyher, E.; Ehlert, S.; Hansen, A.; Neugebauer, H.; Spicher, S.; Bannwarth, C.; Grimme, S. A generally applicable atomic-charge dependent London dispersion correction. The Journal of Chemical Physics 2019, 150 (15). </w:t>
      </w:r>
      <w:r>
        <w:rPr>
          <w:i/>
          <w:color w:val="004D40"/>
          <w:sz w:val="18"/>
        </w:rPr>
        <w:t>doi:10.1063/1.5090222</w:t>
      </w:r>
    </w:p>
    <w:p>
      <w:pPr>
        <w:spacing w:after="60"/>
        <w:ind w:left="576"/>
      </w:pPr>
      <w:r>
        <w:rPr>
          <w:b/>
        </w:rPr>
        <w:t xml:space="preserve">24. </w:t>
      </w:r>
      <w:r>
        <w:t xml:space="preserve">Grimme, S.; Antony, J.; Ehrlich, S.; Krieg, H. A consistent and accurate ab initio parametrization of density functional dispersion correction (DFT-D) for the 94 elements H-Pu. The Journal of Chemical Physics 2010, 132 (15). </w:t>
      </w:r>
      <w:r>
        <w:rPr>
          <w:i/>
          <w:color w:val="004D40"/>
          <w:sz w:val="18"/>
        </w:rPr>
        <w:t>doi:10.1063/1.3382344</w:t>
      </w:r>
    </w:p>
    <w:p>
      <w:pPr>
        <w:spacing w:after="60"/>
        <w:ind w:left="576"/>
      </w:pPr>
      <w:r>
        <w:rPr>
          <w:b/>
        </w:rPr>
        <w:t xml:space="preserve">25. </w:t>
      </w:r>
      <w:r>
        <w:t xml:space="preserve">Spicher, S.; Grimme, S. Robust Atomistic Modeling of Materials, Organometallic, and Biochemical Systems. Angewandte Chemie International Edition 2020, 59 (36), 15665-15673. </w:t>
      </w:r>
      <w:r>
        <w:rPr>
          <w:i/>
          <w:color w:val="004D40"/>
          <w:sz w:val="18"/>
        </w:rPr>
        <w:t>doi:10.1002/anie.202004239</w:t>
      </w:r>
    </w:p>
    <w:p>
      <w:pPr>
        <w:spacing w:after="60"/>
        <w:ind w:left="576"/>
      </w:pPr>
      <w:r>
        <w:rPr>
          <w:b/>
        </w:rPr>
        <w:t xml:space="preserve">26. </w:t>
      </w:r>
      <w:r>
        <w:t xml:space="preserve">Kessler, F. K.; Zheng, Y.; Schwarz, D.; Merschjann, C.; Schnick, W.; Wang, X.; Bojdys, M. J. Functional carbon nitride materials — design strategies for electrochemical devices. Nature Reviews Materials 2017, 2 (6). </w:t>
      </w:r>
      <w:r>
        <w:rPr>
          <w:i/>
          <w:color w:val="004D40"/>
          <w:sz w:val="18"/>
        </w:rPr>
        <w:t>doi:10.1038/natrevmats.2017.30</w:t>
      </w:r>
    </w:p>
    <w:p>
      <w:pPr>
        <w:spacing w:after="60"/>
        <w:ind w:left="576"/>
      </w:pPr>
      <w:r>
        <w:rPr>
          <w:b/>
        </w:rPr>
        <w:t xml:space="preserve">27. </w:t>
      </w:r>
      <w:r>
        <w:t xml:space="preserve">Thomas, A.; Fischer, A.; Goettmann, F.; Antonietti, M.; Müller, J. O.; Schlögl, R.; Carlsson, J. M. Graphitic carbon nitride materials: variation of structure and morphology and their use as metal-free catalysts. Journal of Materials Chemistry 2008, 18 (41), 4893. </w:t>
      </w:r>
      <w:r>
        <w:rPr>
          <w:i/>
          <w:color w:val="004D40"/>
          <w:sz w:val="18"/>
        </w:rPr>
        <w:t>doi:10.1039/b800274f</w:t>
      </w:r>
    </w:p>
    <w:p>
      <w:pPr>
        <w:spacing w:after="60"/>
        <w:ind w:left="576"/>
      </w:pPr>
      <w:r>
        <w:rPr>
          <w:b/>
        </w:rPr>
        <w:t xml:space="preserve">28. </w:t>
      </w:r>
      <w:r>
        <w:t xml:space="preserve">Geerlings, P.; De Proft, F.; Langenaeker, W. Conceptual Density Functional Theory. Chemical Reviews 2003, 103 (5), 1793-1874. </w:t>
      </w:r>
      <w:r>
        <w:rPr>
          <w:i/>
          <w:color w:val="004D40"/>
          <w:sz w:val="18"/>
        </w:rPr>
        <w:t>doi:10.1021/cr990029p</w:t>
      </w:r>
    </w:p>
    <w:p>
      <w:pPr>
        <w:spacing w:after="60"/>
        <w:ind w:left="576"/>
      </w:pPr>
      <w:r>
        <w:rPr>
          <w:b/>
        </w:rPr>
        <w:t xml:space="preserve">29. </w:t>
      </w:r>
      <w:r>
        <w:t xml:space="preserve">Trott, O.; Olson, A. J. AutoDock Vina: Improving the speed and accuracy of docking with a new scoring function, efficient optimization, and multithreading. Journal of Computational Chemistry 2009, 31 (2), 455-461. </w:t>
      </w:r>
      <w:r>
        <w:rPr>
          <w:i/>
          <w:color w:val="004D40"/>
          <w:sz w:val="18"/>
        </w:rPr>
        <w:t>doi:10.1002/jcc.21334</w:t>
      </w:r>
    </w:p>
    <w:p>
      <w:pPr>
        <w:spacing w:after="60"/>
        <w:ind w:left="576"/>
      </w:pPr>
      <w:r>
        <w:rPr>
          <w:b/>
        </w:rPr>
        <w:t xml:space="preserve">30. </w:t>
      </w:r>
      <w:r>
        <w:t xml:space="preserve">Eberhardt, J.; Santos-Martins, D.; Tillack, A. F.; Forli, S. AutoDock Vina 1.2.0: New Docking Methods, Expanded Force Field, and Python Bindings. Journal of Chemical Information and Modeling 2021, 61 (8), 3891-3898. </w:t>
      </w:r>
      <w:r>
        <w:rPr>
          <w:i/>
          <w:color w:val="004D40"/>
          <w:sz w:val="18"/>
        </w:rPr>
        <w:t>doi:10.1021/acs.jcim.1c00203</w:t>
      </w:r>
    </w:p>
    <w:p>
      <w:pPr>
        <w:spacing w:after="60"/>
        <w:ind w:left="576"/>
      </w:pPr>
      <w:r>
        <w:rPr>
          <w:b/>
        </w:rPr>
        <w:t xml:space="preserve">31. </w:t>
      </w:r>
      <w:r>
        <w:t xml:space="preserve">Berman, H. M. The Protein Data Bank. Nucleic Acids Research 2000, 28 (1), 235-242. </w:t>
      </w:r>
      <w:r>
        <w:rPr>
          <w:i/>
          <w:color w:val="004D40"/>
          <w:sz w:val="18"/>
        </w:rPr>
        <w:t>doi:10.1093/nar/28.1.235</w:t>
      </w:r>
    </w:p>
    <w:p>
      <w:pPr>
        <w:spacing w:after="60"/>
        <w:ind w:left="576"/>
      </w:pPr>
      <w:r>
        <w:rPr>
          <w:b/>
        </w:rPr>
        <w:t xml:space="preserve">32. </w:t>
      </w:r>
      <w:r>
        <w:t xml:space="preserve">Landrum, G. RDKit: Open-Source Cheminformatics Software; GitHub: 2021. https://www.rdkit.org. </w:t>
      </w:r>
      <w:r>
        <w:rPr>
          <w:i/>
          <w:color w:val="004D40"/>
          <w:sz w:val="18"/>
        </w:rPr>
        <w:t>doi:10.5281/zenodo.5086055</w:t>
      </w:r>
    </w:p>
    <w:p>
      <w:pPr>
        <w:spacing w:after="60"/>
        <w:ind w:left="576"/>
      </w:pPr>
      <w:r>
        <w:rPr>
          <w:b/>
        </w:rPr>
        <w:t xml:space="preserve">33. </w:t>
      </w:r>
      <w:r>
        <w:t xml:space="preserve">Kim, S.; Chen, J.; Cheng, T.; Gindulyte, A.; He, J.; He, S.; Li, Q.; Shoemaker, B. A.; Thiessen, P. A.; Yu, B.; et al. PubChem in 2021: new data content and improved web interfaces. Nucleic Acids Research 2020, 49 (D1), D1388-D1395. </w:t>
      </w:r>
      <w:r>
        <w:rPr>
          <w:i/>
          <w:color w:val="004D40"/>
          <w:sz w:val="18"/>
        </w:rPr>
        <w:t>doi:10.1093/nar/gkaa971</w:t>
      </w:r>
    </w:p>
    <w:p>
      <w:pPr>
        <w:spacing w:after="60"/>
        <w:ind w:left="576"/>
      </w:pPr>
      <w:r>
        <w:rPr>
          <w:b/>
        </w:rPr>
        <w:t xml:space="preserve">34. </w:t>
      </w:r>
      <w:r>
        <w:t xml:space="preserve">Kitchen, D. B.; Decornez, H.; Furr, J. R.; Bajorath, J. Docking and scoring in virtual screening for drug discovery: methods and applications. Nature Reviews Drug Discovery 2004, 3 (11), 935-949. </w:t>
      </w:r>
      <w:r>
        <w:rPr>
          <w:i/>
          <w:color w:val="004D40"/>
          <w:sz w:val="18"/>
        </w:rPr>
        <w:t>doi:10.1038/nrd1549</w:t>
      </w:r>
    </w:p>
    <w:p>
      <w:pPr>
        <w:spacing w:after="60"/>
        <w:ind w:left="576"/>
      </w:pPr>
      <w:r>
        <w:rPr>
          <w:b/>
        </w:rPr>
        <w:t xml:space="preserve">35. </w:t>
      </w:r>
      <w:r>
        <w:t xml:space="preserve">Parr, R. G.; Yang, W. Density-Functional Theory of Atoms and Molecules; Oxford University Press: New York, 1989. </w:t>
      </w:r>
      <w:r>
        <w:rPr>
          <w:i/>
          <w:color w:val="004D40"/>
          <w:sz w:val="18"/>
        </w:rPr>
        <w:t>doi:10.1093/oso/9780195092769.001.0001</w:t>
      </w:r>
    </w:p>
    <w:p>
      <w:pPr>
        <w:spacing w:after="60"/>
        <w:ind w:left="576"/>
      </w:pPr>
      <w:r>
        <w:rPr>
          <w:b/>
        </w:rPr>
        <w:t xml:space="preserve">36. </w:t>
      </w:r>
      <w:r>
        <w:t xml:space="preserve">Parr, R. G.; Szentpály, L. v.; Liu, S. Electrophilicity Index. Journal of the American Chemical Society 1999, 121 (9), 1922-1924. </w:t>
      </w:r>
      <w:r>
        <w:rPr>
          <w:i/>
          <w:color w:val="004D40"/>
          <w:sz w:val="18"/>
        </w:rPr>
        <w:t>doi:10.1021/ja983494x</w:t>
      </w:r>
    </w:p>
    <w:p>
      <w:pPr>
        <w:spacing w:after="60"/>
        <w:ind w:left="576"/>
      </w:pPr>
      <w:r>
        <w:rPr>
          <w:b/>
        </w:rPr>
        <w:t xml:space="preserve">37. </w:t>
      </w:r>
      <w:r>
        <w:t xml:space="preserve">Chattaraj, P. K.; Maiti, B.; Sarkar, U. Philicity: A Unified Treatment of Chemical Reactivity and Selectivity. The Journal of Physical Chemistry A 2003, 107 (25), 4973-4975. </w:t>
      </w:r>
      <w:r>
        <w:rPr>
          <w:i/>
          <w:color w:val="004D40"/>
          <w:sz w:val="18"/>
        </w:rPr>
        <w:t>doi:10.1021/jp034707u</w:t>
      </w:r>
    </w:p>
    <w:p>
      <w:pPr>
        <w:spacing w:after="60"/>
        <w:ind w:left="576"/>
      </w:pPr>
      <w:r>
        <w:rPr>
          <w:b/>
        </w:rPr>
        <w:t xml:space="preserve">38. </w:t>
      </w:r>
      <w:r>
        <w:t xml:space="preserve">OECD. Guidance Document on the Validation of (Quantitative) Structure-Activity Relationship [(Q)SAR] Models; OECD Environment Health and Safety Publications, Series on Testing and Assessment, No. 69; OECD Publishing: Paris, 2007. </w:t>
      </w:r>
      <w:r>
        <w:rPr>
          <w:i/>
          <w:color w:val="004D40"/>
          <w:sz w:val="18"/>
        </w:rPr>
        <w:t>doi:10.1787/9789264085442-en</w:t>
      </w:r>
    </w:p>
    <w:p>
      <w:pPr>
        <w:spacing w:after="60"/>
        <w:ind w:left="576"/>
      </w:pPr>
      <w:r>
        <w:rPr>
          <w:b/>
        </w:rPr>
        <w:t xml:space="preserve">39. </w:t>
      </w:r>
      <w:r>
        <w:t xml:space="preserve">Gramatica, P. Principles of QSAR models validation: internal and external. QSAR &amp; Combinatorial Science 2007, 26 (5), 694-701. </w:t>
      </w:r>
      <w:r>
        <w:rPr>
          <w:i/>
          <w:color w:val="004D40"/>
          <w:sz w:val="18"/>
        </w:rPr>
        <w:t>doi:10.1002/qsar.200610151</w:t>
      </w:r>
    </w:p>
    <w:p>
      <w:pPr>
        <w:spacing w:after="60"/>
        <w:ind w:left="576"/>
      </w:pPr>
      <w:r>
        <w:rPr>
          <w:b/>
        </w:rPr>
        <w:t xml:space="preserve">40. </w:t>
      </w:r>
      <w:r>
        <w:t xml:space="preserve">Tropsha, A. Best Practices for QSAR Model Development, Validation, and Exploitation. Molecular Informatics 2010, 29 (6-7), 476-488. </w:t>
      </w:r>
      <w:r>
        <w:rPr>
          <w:i/>
          <w:color w:val="004D40"/>
          <w:sz w:val="18"/>
        </w:rPr>
        <w:t>doi:10.1002/minf.201000061</w:t>
      </w:r>
    </w:p>
    <w:p>
      <w:pPr>
        <w:spacing w:after="60"/>
        <w:ind w:left="576"/>
      </w:pPr>
      <w:r>
        <w:rPr>
          <w:b/>
        </w:rPr>
        <w:t xml:space="preserve">41. </w:t>
      </w:r>
      <w:r>
        <w:t xml:space="preserve">Williams, D. A. Generalized Linear Model Diagnostics Using the Deviance and Single Case Deletions. Applied Statistics 1987, 36 (2), 181. </w:t>
      </w:r>
      <w:r>
        <w:rPr>
          <w:i/>
          <w:color w:val="004D40"/>
          <w:sz w:val="18"/>
        </w:rPr>
        <w:t>doi:10.2307/2347550</w:t>
      </w:r>
    </w:p>
    <w:p>
      <w:pPr>
        <w:spacing w:after="60"/>
        <w:ind w:left="576"/>
      </w:pPr>
      <w:r>
        <w:rPr>
          <w:b/>
        </w:rPr>
        <w:t xml:space="preserve">42.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004D40"/>
          <w:sz w:val="18"/>
        </w:rPr>
        <w:t>doi:10.1021/jm4004285</w:t>
      </w:r>
    </w:p>
    <w:p>
      <w:pPr>
        <w:spacing w:after="60"/>
        <w:ind w:left="576"/>
      </w:pPr>
      <w:r>
        <w:rPr>
          <w:b/>
        </w:rPr>
        <w:t xml:space="preserve">43. </w:t>
      </w:r>
      <w:r>
        <w:t xml:space="preserve">Rücker, C.; Rücker, G.; Meringer, M. y-Randomization and Its Variants in QSPR/QSAR. Journal of Chemical Information and Modeling 2007, 47 (6), 2345-2357. </w:t>
      </w:r>
      <w:r>
        <w:rPr>
          <w:i/>
          <w:color w:val="004D40"/>
          <w:sz w:val="18"/>
        </w:rPr>
        <w:t>doi:10.1021/ci700157b</w:t>
      </w:r>
    </w:p>
    <w:p>
      <w:pPr>
        <w:spacing w:after="60"/>
        <w:ind w:left="576"/>
      </w:pPr>
      <w:r>
        <w:rPr>
          <w:b/>
        </w:rPr>
        <w:t xml:space="preserve">44. </w:t>
      </w:r>
      <w:r>
        <w:t xml:space="preserve">Varoquaux, G.; Buitinck, L.; Louppe, G.; Grisel, O.; Pedregosa, F.; Mueller, A. Scikit-learn. GetMobile: Mobile Computing and Communications 2015, 19 (1), 29-33. </w:t>
      </w:r>
      <w:r>
        <w:rPr>
          <w:i/>
          <w:color w:val="004D40"/>
          <w:sz w:val="18"/>
        </w:rPr>
        <w:t>doi:10.1145/2786984.2786995</w:t>
      </w:r>
    </w:p>
    <w:p>
      <w:pPr>
        <w:spacing w:after="60"/>
        <w:ind w:left="576"/>
      </w:pPr>
      <w:r>
        <w:rPr>
          <w:b/>
        </w:rPr>
        <w:t xml:space="preserve">45. </w:t>
      </w:r>
      <w:r>
        <w:t xml:space="preserve">Provenzano, P.; Cuevas, C.; Chang, A.; Goel, V.; Von Hoff, D.; Hingorani, S. Enzymatic Targeting of the Stroma Ablates Physical Barriers to Treatment of Pancreatic Ductal Adenocarcinoma. Cancer Cell 2012, 21 (3), 418-429. </w:t>
      </w:r>
      <w:r>
        <w:rPr>
          <w:i/>
          <w:color w:val="004D40"/>
          <w:sz w:val="18"/>
        </w:rPr>
        <w:t>doi:10.1016/j.ccr.2012.01.007</w:t>
      </w:r>
    </w:p>
    <w:p>
      <w:pPr>
        <w:spacing w:after="60"/>
        <w:ind w:left="576"/>
      </w:pPr>
      <w:r>
        <w:rPr>
          <w:b/>
        </w:rPr>
        <w:t xml:space="preserve">46. </w:t>
      </w:r>
      <w:r>
        <w:t xml:space="preserve">Jacobetz, M. A.; Chan, D. S.; Neesse, A.; Bapiro, T. E.; Cook, N.; Frese, K. K.; Feig, C.; Nakagawa, T.; Caldwell, M. E.; Zecchini, H. I.; et al. Hyaluronan impairs vascular function and drug delivery in a mouse model of pancreatic cancer. Gut 2012, 62 (1), 112-120. </w:t>
      </w:r>
      <w:r>
        <w:rPr>
          <w:i/>
          <w:color w:val="004D40"/>
          <w:sz w:val="18"/>
        </w:rPr>
        <w:t>doi:10.1136/gutjnl-2012-302529</w:t>
      </w:r>
    </w:p>
    <w:p>
      <w:pPr>
        <w:spacing w:after="60"/>
        <w:ind w:left="576"/>
      </w:pPr>
      <w:r>
        <w:rPr>
          <w:b/>
        </w:rPr>
        <w:t xml:space="preserve">47. </w:t>
      </w:r>
      <w:r>
        <w:t xml:space="preserve">Olive, K. P.; Jacobetz, M. A.; Davidson, C. J.; Gopinathan, A.; McIntyre, D.; Honess, D.; Madhu, B.; Goldgraben, M. A.; Caldwell, M. E.; Allard, D.; et al. Inhibition of Hedgehog Signaling Enhances Delivery of Chemotherapy in a Mouse Model of Pancreatic Cancer. Science 2009, 324 (5933), 1457-1461. </w:t>
      </w:r>
      <w:r>
        <w:rPr>
          <w:i/>
          <w:color w:val="004D40"/>
          <w:sz w:val="18"/>
        </w:rPr>
        <w:t>doi:10.1126/science.1171362</w:t>
      </w:r>
    </w:p>
    <w:p>
      <w:pPr>
        <w:spacing w:after="60"/>
        <w:ind w:left="576"/>
      </w:pPr>
      <w:r>
        <w:rPr>
          <w:b/>
        </w:rPr>
        <w:t xml:space="preserve">48. </w:t>
      </w:r>
      <w:r>
        <w:t xml:space="preserve">Blanco, E.; Shen, H.; Ferrari, M. Principles of nanoparticle design for overcoming biological barriers to drug delivery. Nature Biotechnology 2015, 33 (9), 941-951. </w:t>
      </w:r>
      <w:r>
        <w:rPr>
          <w:i/>
          <w:color w:val="004D40"/>
          <w:sz w:val="18"/>
        </w:rPr>
        <w:t>doi:10.1038/nbt.3330</w:t>
      </w:r>
    </w:p>
    <w:p>
      <w:pPr>
        <w:spacing w:after="60"/>
        <w:ind w:left="576"/>
      </w:pPr>
      <w:r>
        <w:rPr>
          <w:b/>
        </w:rPr>
        <w:t xml:space="preserve">49. </w:t>
      </w:r>
      <w:r>
        <w:t xml:space="preserve">Peer, D.; Karp, J. M.; Hong, S.; Farokhzad, O. C.; Margalit, R.; Langer, R. Nanocarriers as an emerging platform for cancer therapy. Nature Nanotechnology 2007, 2 (12), 751-760. </w:t>
      </w:r>
      <w:r>
        <w:rPr>
          <w:i/>
          <w:color w:val="004D40"/>
          <w:sz w:val="18"/>
        </w:rPr>
        <w:t>doi:10.1038/nnano.2007.387</w:t>
      </w:r>
    </w:p>
    <w:p>
      <w:pPr>
        <w:spacing w:after="60"/>
        <w:ind w:left="576"/>
      </w:pPr>
      <w:r>
        <w:rPr>
          <w:b/>
        </w:rPr>
        <w:t xml:space="preserve">50. </w:t>
      </w:r>
      <w:r>
        <w:t xml:space="preserve">Shi, J.; Kantoff, P. W.; Wooster, R.; Farokhzad, O. C. Cancer nanomedicine: progress, challenges and opportunities. Nature Reviews Cancer 2016, 17 (1), 20-37. </w:t>
      </w:r>
      <w:r>
        <w:rPr>
          <w:i/>
          <w:color w:val="004D40"/>
          <w:sz w:val="18"/>
        </w:rPr>
        <w:t>doi:10.1038/nrc.2016.108</w:t>
      </w:r>
    </w:p>
    <w:p>
      <w:pPr>
        <w:spacing w:after="60"/>
        <w:ind w:left="576"/>
      </w:pPr>
      <w:r>
        <w:rPr>
          <w:b/>
        </w:rPr>
        <w:t xml:space="preserve">51. </w:t>
      </w:r>
      <w:r>
        <w:t xml:space="preserve">Maeda, H.; Wu, J.; Sawa, T.; Matsumura, Y.; Hori, K. Tumor vascular permeability and the EPR effect in macromolecular therapeutics: a review. Journal of Controlled Release 2000, 65 (1-2), 271-284. </w:t>
      </w:r>
      <w:r>
        <w:rPr>
          <w:i/>
          <w:color w:val="004D40"/>
          <w:sz w:val="18"/>
        </w:rPr>
        <w:t>doi:10.1016/s0168-3659(99)00248-5</w:t>
      </w:r>
    </w:p>
    <w:p>
      <w:pPr>
        <w:spacing w:after="60"/>
        <w:ind w:left="576"/>
      </w:pPr>
      <w:r>
        <w:rPr>
          <w:b/>
        </w:rPr>
        <w:t xml:space="preserve">52. </w:t>
      </w:r>
      <w:r>
        <w:t xml:space="preserve">Matsumura, Y.; Maeda, H. A new concept for macromolecular therapeutics in cancer chemotherapy: mechanism of tumoritropic accumulation of proteins and the antitumor agent smancs. Cancer Res. 1986, 46 (12 Pt 1), 6387–6392. </w:t>
      </w:r>
      <w:r>
        <w:rPr>
          <w:i/>
          <w:color w:val="004D40"/>
          <w:sz w:val="18"/>
        </w:rPr>
        <w:t>PMID: 2946403</w:t>
      </w:r>
    </w:p>
    <w:p>
      <w:pPr>
        <w:spacing w:after="60"/>
        <w:ind w:left="576"/>
      </w:pPr>
      <w:r>
        <w:rPr>
          <w:b/>
        </w:rPr>
        <w:t xml:space="preserve">53. </w:t>
      </w:r>
      <w:r>
        <w:t xml:space="preserve">Mitchell, M. J.; Billingsley, M. M.; Haley, R. M.; Wechsler, M. E.; Peppas, N. A.; Langer, R. Engineering precision nanoparticles for drug delivery. Nature Reviews Drug Discovery 2020, 20 (2), 101-124. </w:t>
      </w:r>
      <w:r>
        <w:rPr>
          <w:i/>
          <w:color w:val="004D40"/>
          <w:sz w:val="18"/>
        </w:rPr>
        <w:t>doi:10.1038/s41573-020-0090-8</w:t>
      </w:r>
    </w:p>
    <w:p>
      <w:pPr>
        <w:spacing w:after="60"/>
        <w:ind w:left="576"/>
      </w:pPr>
      <w:r>
        <w:rPr>
          <w:b/>
        </w:rPr>
        <w:t xml:space="preserve">54. </w:t>
      </w:r>
      <w:r>
        <w:t xml:space="preserve">Awad, M. M.; Liu, S.; Rybkin, I. I.; Arbour, K. C.; Dilly, J.; Zhu, V. W.; Johnson, M. L.; Heist, R. S.; Patil, T.; Riely, G. J.; et al. Acquired Resistance to KRAS G12C Inhibition in Cancer. New England Journal of Medicine 2021, 384 (25), 2382-2393. </w:t>
      </w:r>
      <w:r>
        <w:rPr>
          <w:i/>
          <w:color w:val="004D40"/>
          <w:sz w:val="18"/>
        </w:rPr>
        <w:t>doi:10.1056/nejmoa2105281</w:t>
      </w:r>
    </w:p>
    <w:p>
      <w:pPr>
        <w:spacing w:after="60"/>
        <w:ind w:left="576"/>
      </w:pPr>
      <w:r>
        <w:rPr>
          <w:b/>
        </w:rPr>
        <w:t xml:space="preserve">55. </w:t>
      </w:r>
      <w:r>
        <w:t xml:space="preserve">Ostrem, J. M.; Peters, U.; Sos, M. L.; Wells, J. A.; Shokat, K. M. K-Ras(G12C) inhibitors allosterically control GTP affinity and effector interactions. Nature 2013, 503 (7477), 548-551. </w:t>
      </w:r>
      <w:r>
        <w:rPr>
          <w:i/>
          <w:color w:val="004D40"/>
          <w:sz w:val="18"/>
        </w:rPr>
        <w:t>doi:10.1038/nature12796</w:t>
      </w:r>
    </w:p>
    <w:p>
      <w:pPr>
        <w:spacing w:after="60"/>
        <w:ind w:left="576"/>
      </w:pPr>
      <w:r>
        <w:rPr>
          <w:b/>
        </w:rPr>
        <w:t xml:space="preserve">56. </w:t>
      </w:r>
      <w:r>
        <w:t xml:space="preserve">Cox, A. D.; Fesik, S. W.; Kimmelman, A. C.; Luo, J.; Der, C. J. Drugging the undruggable RAS: Mission Possible?. Nature Reviews Drug Discovery 2014, 13 (11), 828-851. </w:t>
      </w:r>
      <w:r>
        <w:rPr>
          <w:i/>
          <w:color w:val="004D40"/>
          <w:sz w:val="18"/>
        </w:rPr>
        <w:t>doi:10.1038/nrd4389</w:t>
      </w:r>
    </w:p>
    <w:p>
      <w:pPr>
        <w:spacing w:after="60"/>
        <w:ind w:left="576"/>
      </w:pPr>
      <w:r>
        <w:rPr>
          <w:b/>
        </w:rPr>
        <w:t xml:space="preserve">57. </w:t>
      </w:r>
      <w:r>
        <w:t xml:space="preserve">Kessler, D.; Gmachl, M.; Mantoulidis, A.; Martin, L. J.; Zoephel, A.; Mayer, M.; Gollner, A.; Covini, D.; Fischer, S.; Gerstberger, T.; et al. Drugging an undruggable pocket on KRAS. Proceedings of the National Academy of Sciences 2019, 116 (32), 15823-15829. </w:t>
      </w:r>
      <w:r>
        <w:rPr>
          <w:i/>
          <w:color w:val="004D40"/>
          <w:sz w:val="18"/>
        </w:rPr>
        <w:t>doi:10.1073/pnas.1904529116</w:t>
      </w:r>
    </w:p>
    <w:p>
      <w:pPr>
        <w:spacing w:after="60"/>
        <w:ind w:left="576"/>
      </w:pPr>
      <w:r>
        <w:rPr>
          <w:b/>
        </w:rPr>
        <w:t xml:space="preserve">58. </w:t>
      </w:r>
      <w:r>
        <w:t xml:space="preserve">Hofmann, M. H.; Gerlach, D.; Misale, S.; Petronczki, M.; Kraut, N. Expanding the Reach of Precision Oncology by Drugging All KRAS Mutants. Cancer Discovery 2022, 12 (4), 924-937. </w:t>
      </w:r>
      <w:r>
        <w:rPr>
          <w:i/>
          <w:color w:val="004D40"/>
          <w:sz w:val="18"/>
        </w:rPr>
        <w:t>doi:10.1158/2159-8290.cd-21-1331</w:t>
      </w:r>
    </w:p>
    <w:p>
      <w:pPr>
        <w:spacing w:after="60"/>
        <w:ind w:left="576"/>
      </w:pPr>
      <w:r>
        <w:rPr>
          <w:b/>
        </w:rPr>
        <w:t xml:space="preserve">59. </w:t>
      </w:r>
      <w:r>
        <w:t xml:space="preserve">Pandey, D.; Chauhan, S. C.; Kashyap, V. K.; Roy, K. K. Structural insights into small-molecule KRAS inhibitors for targeting KRAS mutant cancers. European Journal of Medicinal Chemistry 2024, 277, 116771. </w:t>
      </w:r>
      <w:r>
        <w:rPr>
          <w:i/>
          <w:color w:val="004D40"/>
          <w:sz w:val="18"/>
        </w:rPr>
        <w:t>doi:10.1016/j.ejmech.2024.116771</w:t>
      </w:r>
    </w:p>
    <w:p>
      <w:pPr>
        <w:spacing w:after="60"/>
        <w:ind w:left="576"/>
      </w:pPr>
      <w:r>
        <w:rPr>
          <w:b/>
        </w:rPr>
        <w:t xml:space="preserve">60. </w:t>
      </w:r>
      <w:r>
        <w:t xml:space="preserve">Kim, D.; Herdeis, L.; Rudolph, D.; Zhao, Y.; Böttcher, J.; Vides, A.; Ayala-Santos, C. I.; Pourfarjam, Y.; Cuevas-Navarro, A.; Xue, J. Y.; et al. Pan-KRAS inhibitor disables oncogenic signalling and tumour growth. Nature 2023, 619 (7968), 160-166. </w:t>
      </w:r>
      <w:r>
        <w:rPr>
          <w:i/>
          <w:color w:val="004D40"/>
          <w:sz w:val="18"/>
        </w:rPr>
        <w:t>doi:10.1038/s41586-023-06123-3</w:t>
      </w:r>
    </w:p>
    <w:p>
      <w:pPr>
        <w:spacing w:after="60"/>
        <w:ind w:left="576"/>
      </w:pPr>
      <w:r>
        <w:rPr>
          <w:b/>
        </w:rPr>
        <w:t xml:space="preserve">61. </w:t>
      </w:r>
      <w:r>
        <w:t xml:space="preserve">Manzur, A.; Oluwasanmi, A.; Moss, D.; Curtis, A.; Hoskins, C. Nanotechnologies in Pancreatic Cancer Therapy. Pharmaceutics 2017, 9 (4), 39. </w:t>
      </w:r>
      <w:r>
        <w:rPr>
          <w:i/>
          <w:color w:val="004D40"/>
          <w:sz w:val="18"/>
        </w:rPr>
        <w:t>doi:10.3390/pharmaceutics9040039</w:t>
      </w:r>
    </w:p>
    <w:p>
      <w:pPr>
        <w:spacing w:after="60"/>
        <w:ind w:left="576"/>
      </w:pPr>
      <w:r>
        <w:rPr>
          <w:b/>
        </w:rPr>
        <w:t xml:space="preserve">62. </w:t>
      </w:r>
      <w:r>
        <w:t xml:space="preserve">Hanahan, D. Hallmarks of Cancer: New Dimensions. Cancer Discovery 2022, 12 (1), 31-46. </w:t>
      </w:r>
      <w:r>
        <w:rPr>
          <w:i/>
          <w:color w:val="004D40"/>
          <w:sz w:val="18"/>
        </w:rPr>
        <w:t>doi:10.1158/2159-8290.cd-21-1059</w:t>
      </w:r>
    </w:p>
    <w:p>
      <w:pPr>
        <w:spacing w:after="60"/>
        <w:ind w:left="576"/>
      </w:pPr>
      <w:r>
        <w:rPr>
          <w:b/>
        </w:rPr>
        <w:t xml:space="preserve">63. </w:t>
      </w:r>
      <w:r>
        <w:t xml:space="preserve">Vogelstein, B.; Papadopoulos, N.; Velculescu, V. E.; Zhou, S.; Diaz, L. A.; Kinzler, K. W. Cancer Genome Landscapes. Science 2013, 339 (6127), 1546-1558. </w:t>
      </w:r>
      <w:r>
        <w:rPr>
          <w:i/>
          <w:color w:val="004D40"/>
          <w:sz w:val="18"/>
        </w:rPr>
        <w:t>doi:10.1126/science.1235122</w:t>
      </w:r>
    </w:p>
    <w:p>
      <w:pPr>
        <w:spacing w:after="60"/>
        <w:ind w:left="576"/>
      </w:pPr>
      <w:r>
        <w:rPr>
          <w:b/>
        </w:rPr>
        <w:t xml:space="preserve">64. </w:t>
      </w:r>
      <w:r>
        <w:t xml:space="preserve">Simanshu, D. K.; Nissley, D. V.; McCormick, F. RAS Proteins and Their Regulators in Human Disease. Cell 2017, 170 (1), 17-33. </w:t>
      </w:r>
      <w:r>
        <w:rPr>
          <w:i/>
          <w:color w:val="004D40"/>
          <w:sz w:val="18"/>
        </w:rPr>
        <w:t>doi:10.1016/j.cell.2017.06.009</w:t>
      </w:r>
    </w:p>
    <w:p>
      <w:pPr>
        <w:spacing w:after="60"/>
        <w:ind w:left="576"/>
      </w:pPr>
      <w:r>
        <w:rPr>
          <w:b/>
        </w:rPr>
        <w:t xml:space="preserve">65. </w:t>
      </w:r>
      <w:r>
        <w:t xml:space="preserve">Moore, A. R.; Rosenberg, S. C.; McCormick, F.; Malek, S. RAS-targeted therapies: is the undruggable drugged?. Nature Reviews Drug Discovery 2020, 19 (8), 533-552. </w:t>
      </w:r>
      <w:r>
        <w:rPr>
          <w:i/>
          <w:color w:val="004D40"/>
          <w:sz w:val="18"/>
        </w:rPr>
        <w:t>doi:10.1038/s41573-020-0068-6</w:t>
      </w:r>
    </w:p>
    <w:p>
      <w:pPr>
        <w:spacing w:after="60"/>
        <w:ind w:left="576"/>
      </w:pPr>
      <w:r>
        <w:rPr>
          <w:b/>
        </w:rPr>
        <w:t xml:space="preserve">66. </w:t>
      </w:r>
      <w:r>
        <w:t xml:space="preserve">Lu, W.; Zeng, R.; Pan, M.; Zhou, Y.; Tang, H.; Shen, W.; Tang, Y.; Lei, P. Pharmacokinetics, bioavailability, and tissue distribution of MRTX1133 in rats using UHPLC-MS/MS. Frontiers in Pharmacology 2024, 15. </w:t>
      </w:r>
      <w:r>
        <w:rPr>
          <w:i/>
          <w:color w:val="004D40"/>
          <w:sz w:val="18"/>
        </w:rPr>
        <w:t>doi:10.3389/fphar.2024.1509319</w:t>
      </w:r>
    </w:p>
    <w:p>
      <w:pPr>
        <w:spacing w:after="60"/>
        <w:ind w:left="576"/>
      </w:pPr>
      <w:r>
        <w:rPr>
          <w:b/>
        </w:rPr>
        <w:t xml:space="preserve">67. </w:t>
      </w:r>
      <w:r>
        <w:t xml:space="preserve">Swetha, K.; Bhatnagar, A.; Lakavathu, M.; Poornima, P.; Ganesh, P.; Kamath, A.; Bonam, S. R.; Srinivasula, S. M.; Kurapati, R. Biological degradation of graphitic carbon nitride sheets and autophagy induction in macrophages. Nanoscale 2025, 17 (25), 15267-15278. </w:t>
      </w:r>
      <w:r>
        <w:rPr>
          <w:i/>
          <w:color w:val="004D40"/>
          <w:sz w:val="18"/>
        </w:rPr>
        <w:t>doi:10.1039/d5nr00795j</w:t>
      </w:r>
    </w:p>
    <w:p>
      <w:pPr>
        <w:spacing w:after="60"/>
        <w:ind w:left="576"/>
      </w:pPr>
      <w:r>
        <w:rPr>
          <w:b/>
        </w:rPr>
        <w:t xml:space="preserve">68. </w:t>
      </w:r>
      <w:r>
        <w:t xml:space="preserve">Killock, D. Pan-RAS inhibitor daraxonrasib shows promise in pancreatic cancer. Nature Reviews Clinical Oncology 2026, 23 (7), 475-475. </w:t>
      </w:r>
      <w:r>
        <w:rPr>
          <w:i/>
          <w:color w:val="004D40"/>
          <w:sz w:val="18"/>
        </w:rPr>
        <w:t>doi:10.1038/s41571-026-01162-x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