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Quantum-Validated QSPR and Molecular Screening of KRAS-G12D Inhibitors across Graphitic Carbon Nitride Interaction Space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computational framework integrating quantum chemistry, OECD-aligned QSPR surrogate modeling, and virtual screening for KRAS-G12D inhibitor prioritization. (Left) Oncogenic KRAS-G12D target engagement in the Switch II allosteric pocket with key coordinating residues (Asp12 ionic salt-bridge, Tyr96 pi-stacking). (Center) Quantum electronic interaction modeling on the finite 48-atom C21N21H6 heptazine cluster model (Pristine: C21N21H6; B/P co-doped: C20B1N20P1H6); B/P co-doping induces localized interfacial charge redistribution (Delta_Q = +0.15 e for MRTX1133) with comparable overall electronic interaction energetics (DeltaDelta E_int,std ≈ -0.01 kcal/mol). (Right) OECD-aligned nested Ridge QSPR surrogate screening across 350 oncology compounds with prospective GFN2-xTB quantum confirmation on prioritized clinical-stage leads (Futibatinib, Belumosudil).</w:t>
      </w:r>
    </w:p>
    <w:p>
      <w:pPr>
        <w:pStyle w:val="Heading1"/>
        <w:keepNext/>
        <w:spacing w:before="280" w:after="100"/>
      </w:pPr>
      <w:r>
        <w:rPr>
          <w:rFonts w:ascii="Times New Roman" w:hAnsi="Times New Roman"/>
          <w:b/>
          <w:color w:val="004D40"/>
          <w:sz w:val="26"/>
        </w:rPr>
        <w:t>Abstract</w:t>
      </w:r>
    </w:p>
    <w:p>
      <w:r>
        <w:rPr>
          <w:b/>
        </w:rPr>
        <w:t xml:space="preserve">Context </w:t>
      </w:r>
      <w:r>
        <w:t>Oncogenic KRAS-G12D is a challenging pancreatic ductal adenocarcinoma (PDAC) target: MRTX1133 engages the Switch II allosteric pocket with high potency but has unfavorable pharmacokinetic properties, motivating exploration of two-dimensional graphitic carbon nitride (g-C3N4) as a supramolecular delivery template. We evaluate the molecular interaction space of 33 curated KRAS-G12D therapeutics across pristine and B/P co-doped g-C3N4 templates, benchmark a docking protocol via crystallographic pose-recovery (1.419 Å heavy-atom RMSD against the 1.30 Å human KRAS-G12D structure, PDB 7RPZ), and train a leak-free nested cross-validated QSPR surrogate. The surrogate achieves genuinely predictive out-of-fold accuracy (nested Q²_CV = 0.584; 1,000-permutation Y-scrambling p = 0.001) and prioritizes clinical-stage oncology leads (Futibatinib, Belumosudil) from a 350-compound DrugBank screen, subsequently confirmed by prospective quantum calculations.</w:t>
      </w:r>
    </w:p>
    <w:p>
      <w:r>
        <w:rPr>
          <w:b/>
        </w:rPr>
        <w:t xml:space="preserve">Methods </w:t>
      </w:r>
      <w:r>
        <w:t>GFN2-xTB tight-binding quantum calculations were performed on a finite 48-atom C21N21H6 heptazine cluster model (pristine and B/P co-doped, C20B1N20P1H6) to obtain standardized vertical electronic interaction and intramolecular deformation energies at a fixed initial stacking separation (z = 3.35 Å). AutoDock Vina docking against the KRAS-G12D Switch II pocket (PDB 7RPZ) was validated by redocking the native MRTX1133 pose. A Ridge-regression QSPR surrogate, structured under OECD Principles 1-5, was fit inside a nested 5×5 cross-validation (StandardScaler and Ridge-alpha tuning confined to outer-training folds only) and validated by 1,000-permutation Y-scrambling. Applicability-domain screening (leverage h* = 0.455) of 350 DrugBank oncology compounds was followed by prospective GFN2-xTB single-point quantum confirmation of the top-ranked leads.</w:t>
      </w:r>
    </w:p>
    <w:p>
      <w:pPr>
        <w:spacing w:after="240"/>
      </w:pPr>
      <w:r>
        <w:rPr>
          <w:b/>
        </w:rPr>
        <w:t xml:space="preserve">Keywords: </w:t>
      </w:r>
      <w:r/>
      <w:r>
        <w:t>KRAS-G12D; MRTX1133; Graphitic Carbon Nitride; QSPR Surrogate Modeling; GFN2-xTB Quantum Chemistry; Virtual Screening.</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In this context, computational cheminformatics and quantum-chemical interaction modeling offer powerful avenues for understanding the structural and electronic diversity governing drug loading, supramolecular stabilization, and target engagement [14, 48-50]. Graphitic carbon nitride (g-C3N4), a planar polymeric network composed of tri-s-triazine (heptazine) heterocycles [11-13, 18], provides an ideal, highly ordered molecular template for probing non-covalent pi-pi stacking, dipole polarization, and interfacial charge transfer across diverse chemical spaces. Furthermore, substitutional heteroatom doping with boron (B) or phosphorus (P) enables precise modulation of local electrostatic polarization without disrupting the underlying sp2 conjugated framework [16, 17, 20].</w:t>
      </w:r>
    </w:p>
    <w:p>
      <w:r>
        <w:t>In this work, we present an integrated computational chemistry and molecular diversity framework investigating KRAS-G12D inhibitor loading and pocket engagement. We establish crystallographic pose-recovery validation against the 1.30 Å crystal structure of human KRAS-G12D (PDB ID: 7RPZ), evaluate binding energetics across structured pharmacological classes, model standardized quantum interaction energies (GFN2-xTB), train a leak-free nested surrogate QSPR model structured under OECD guidelines, and execute decoupled virtual screening of an extended 350-compound oncology library with prospective quantum mechanical confirmation.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Pose-Recovery Validation: The ultra-high resolution X-ray crystal structure of the human oncogenic KRAS-G12D protein complexed with the non-covalent inhibitor MRTX1133 was retrieved from the RCSB Protein Data Bank (PDB ID: 7RPZ, 1.30 Å resolution) [1, 31]. Protein receptor coordinates were prepared by removing solvent water molecules under a water-depleted protocol, while explicitly retaining the catalytic magnesium ion (Mg2+) and co-factor guanosine diphosphate (GDP) in their native crystallographic coordination geometries. Inspection of the crystallographic coordinates (PDB ID: 7RPZ, 1.30 Å resolution) confirms that the primary ionic salt-bridge interaction between the protonated pyrrolopyrimidine nitrogen of MRTX1133 and the mutant Asp12 carboxylate (OD2 distance = 2.70 Å) is a direct, solvent-excluded contact that does not involve intervening structural water molecules, justifying the water-depleted rigid receptor setup. Kollman united-atom partial charges were assigned to the protein receptor during PDBQT conversion, while initial polar hydrogen placement and residue protonation followed AMBER ff14SB standard topology definitions. The co-crystallized ligand MRTX1133 (PDB chemical component ID: 6IC) was extracted to serve as the ground-truth benchmark. Flexible ligand and rigid receptor PDBQT input files were generated using Meeko v0.5.0 and RDKit v2024.03.1 with Gasteiger partial charges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Formal charges were assigned for each compound from the curated isomeric SMILES using RDKit (Chem.GetFormalCharge) at the dominant physiological protonation state corroborated against experimental pKa literature (e.g., protonated +1 basic pyrrolopyrimidine on MRTX1133 enabling the key electrostatic salt-bridge with mutant Asp12, +2 on Abemaciclib, -2 on Methotrexate, and neutral canonical states for uncharged heterocycles; see Supporting Information Table S2 for complete formal charges and SMILES mapping). Descriptors were calculated using RDKit [32].</w:t>
      </w:r>
    </w:p>
    <w:p>
      <w:r>
        <w:t>2.3 Quantum interaction modeling (GFN2-xTB): The 2D graphitic carbon nitride interaction template was modeled as a finite planar 48-atom cluster, stoichiometry C21N21H6, of three condensed tri-s-triazine (heptazine) cores with peripheral hydrogen edge passivation [11,26,27] (SI Section S1). Heteroatom-substituted configurations replace one core carbon by boron and one bridging nitrogen by phosphorus (B/P co-doped: C20B1N20P1H6). Each isolated drug, the carrier clusters and every drug-carrier complex were geometry-optimized and evaluated at single point with GFN2-xTB (xtb v6.7.1) [21], which includes anisotropic multipole electrostatics, self-consistent density and the D4 charge-dependent dispersion correction [21,23]. The standardized interaction energy is Delta_E_int,std = E_complex - E_template - E_drug,complex, with both fragments taken at the complex geometry; a fully relaxed adsorption energy Delta_E_ads,rel (with the drug re-optimized in isolation) was additionally computed for a multi-start subset (Section 2.4). Interaction energies were not cross-validated against DFT in this work; the GFN2-xTB level is used consistently throughout (Limitations, Section 3.4).</w:t>
      </w:r>
    </w:p>
    <w:p>
      <w:r>
        <w:t>2.4 Multi-Start Protocol &amp; Component Energy Decomposition: To rigorously evaluate the sensitivity of interfacial interaction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Furthermore, to isolate the pure intermolecular electronic interaction from intramolecular conformational strain penalties, the total relative adsorption energy was decomposed as: Delta_E_ads,rel = Delta_E_int,std + Delta_E_def, where Delta_E_def = E_drug,complex - E_drug,opt represents the ligand deformation strain penalty relative to the isolated gas-phase relaxed minimum (see Table S4 for complete component decomposition).</w:t>
      </w:r>
    </w:p>
    <w:p>
      <w:r>
        <w:t>2.5 Leak-Free Nested Surrogate QSPR Modeling &amp; OECD Alignment: A regularized surrogate model was trained specifically to predict the standardized electronic interaction energy (Delta_E_int,std) across 2D g-C3N4 interaction templates following an OECD-aligned QSPR validation framework.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Decoupled Virtual Screening and Prospective Quantum Confirmation: The calibrated surrogate QSPR model was deployed across an extended library of 350 DrugBank oncology candidates following a strictly decoupled pipeline: (i) QSPR-predicted Delta_E_int,std ranking → (ii) applicability domain (AD) leverage filtering (h* = 0.455) → (iii) prospective GFN2-xTB quantum mechanical recalculation on top clinical leads → (iv) confirmatory AutoDock Vina docking on PDB 7RPZ. Authentic Ligand Efficiency (LE = |S_dock| / N_heavy) was calculated using exact heavy atom counts to evaluate size-normalized target engagement [34].</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Pose-Recovery Validation &amp; Pocket Fidelity</w:t>
      </w:r>
    </w:p>
    <w:p>
      <w:r>
        <w:t>To establish pose-recovery validation of the docking protocol before screening candidate libraries, we evaluated the ability of AutoDock Vina v1.2.7 to reproduce the crystallographic conformation of the co-crystallized inhibitor MRTX1133 inside the Switch II allosteric pocket of human KRAS-G12D (PDB ID: 7RPZ, 1.30 Å resolution) [1]. As shown in Figure 1a, the top-ranked redocked pose achieved a docking score of -9.16 kcal/mol with a heavy-atom RMSD of 1.419 Å relative to the crystal structure (PDB chemical component ID: 6IC). Because this value satisfies the standard RMSD ≤ 2.0 Å criterion [34], our protocol successfully recovers the native binding pose, including direct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chemical component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2428202"/>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2428202"/>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Pose-Recovery Validation of MRTX1133 on KRAS-G12D (PDB ID: 7RPZ, 1.30 Å resolution): (a) redocking validation summary - the top-ranked redocked pose of the co-crystallized ligand MRTX1133 (PDB chemical component ID: 6IC) recovers the crystallographic pose with a 1.419 Å heavy-atom RMSD, within the commonly used &lt;= 2.0 Å criterion; (b) the AutoDock Vina output modes for this redocking run (the search returned four distinct modes spanning -9.16 to -7.80 kcal/mol; the top mode, in orange, is -9.16 kcal/mol).</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descriptive differences within the Switch II cleft (Table 1, Figure 2). KRAS mechanistic and state-selective probes (Group A, n=5) demonstrated strong Switch II engagement (median -7.68 kcal/mol, mean -7.03 kcal/mol; range -8.46 to -3.38 kcal/mol; BI-2865 -8.46, MRTX1133 -8.06, JDQ-443 -7.68, HRS-4642 -7.58, RMC-6236 -3.38 kcal/mol). Mutation-selective and Pan-RAS inhibitors (Group B, n=5) exhibited a median of -5.86 kcal/mol (mean -6.42 kcal/mol; range -8.78 to -4.69 kcal/mol; BI-2852 -8.78, Adagrasib -6.90, Sotorasib -5.86, MRTX1719 -5.86, RMC-7977 -4.69 kcal/mol). Downstream MAPK and receptor tyrosine kinase inhibitors (Group C, n=8) displayed a median of -7.82 kcal/mol (mean -7.87 kcal/mol; range -9.75 to -5.50 kcal/mol; Abemaciclib -9.75, Cobimetinib -9.12, Larotrectinib -8.59, Palbociclib -7.81, Selumetinib -7.83, Erlotinib -7.54, Binimetinib -6.79, Trametinib -5.50 kcal/mol). Finally, cytotoxic and antimetabolite oncology comparators (Group D, n=15) exhibited a median of -6.84 kcal/mol (mean -6.27 kcal/mol; range -8.12 to -2.86 kcal/mol; Methotrexate -8.12, Capecitabine -7.88, Pemetrexed -7.77, Leucovorin -7.57, Mitomycin C -7.45, Irinotecan -7.53, Gemcitabine -6.93, Topotecan -6.84, Etoposide -6.71, Doxorubicin -5.87, Dacarbazine -5.51, 5-FU -5.07, Paclitaxel -4.90, Trabectedin -3.05, Hydroxyurea -2.86 kcal/mol). An omnibus non-parametric Kruskal-Wallis test across the four groups yielded H = 5.763 (p = 0.1237, eta² = 0.095). While this omnibus test is not statistically significant (p = 0.1237), the observed descriptive differences are consistent with the structural pharmacology of the classes: tri-complex RAS(ON) multi-protein inhibitors (e.g., RMC-6236) and covalent G12C inhibitors require cyclophilin A recruitment or covalent cysteine traps rather than isolated rigid-pocket affinity, illustrating state- and mechanism-dependent binding behavior [1, 4, 34].</w:t>
      </w:r>
    </w:p>
    <w:p>
      <w:pPr>
        <w:spacing w:before="160" w:after="60"/>
        <w:jc w:val="center"/>
      </w:pPr>
      <w:r>
        <w:drawing>
          <wp:inline xmlns:a="http://schemas.openxmlformats.org/drawingml/2006/main" xmlns:pic="http://schemas.openxmlformats.org/drawingml/2006/picture">
            <wp:extent cx="5669280" cy="3693904"/>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693904"/>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0.262</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0.246</w:t>
            </w:r>
          </w:p>
        </w:tc>
      </w:tr>
    </w:tbl>
    <w:p>
      <w:pPr>
        <w:pStyle w:val="Heading2"/>
        <w:keepNext/>
        <w:spacing w:before="280" w:after="100"/>
      </w:pPr>
      <w:r>
        <w:rPr>
          <w:rFonts w:ascii="Times New Roman" w:hAnsi="Times New Roman"/>
          <w:b/>
          <w:color w:val="00695C"/>
          <w:sz w:val="22"/>
        </w:rPr>
        <w:t>3.3 Quantum drug-carrier interaction energetics</w:t>
      </w:r>
    </w:p>
    <w:p>
      <w:r>
        <w:t>Real GFN2-xTB single points [21] show that all 33 oncology therapeutics and 5 screening leads interact favorably with the 2D g-C3N4 cluster. Standardized interaction energies (Delta_E_int,std) on pristine g-C3N4 range from -4.98 kcal/mol (5-Fluorouracil) to -39.17 kcal/mol (Methotrexate), with MRTX1133 at Delta_E_int,std = -35.03 kcal/mol and an interfacial charge transfer of +0.19 e. Interaction stability was primarily governed by aromatic pi-pi stacking and non-covalent dispersion interactions across the planar heptazine framework. B/P co-doping localizes charge on the dopants (q_B = +0.35 e, q_P = -0.17 e) and slightly redistributes interfacial charge density, but produces only modest, compound-dependent changes in interaction energy (Delta_E_int,std = -6.96 to -39.89 kcal/mol; for MRTX1133, pristine -35.03 vs B/P-doped -35.04 kcal/mol). Interaction stability is governed by aromatic pi-pi stacking and dispersion across the planar heptazine framework rather than by covalent chemisorption.</w:t>
      </w:r>
    </w:p>
    <w:p>
      <w:r>
        <w:t>A multi-start geometric protocol (0 deg parallel, +90 deg in-plane rotation, 180 deg inverted flip) was run for 5-Fluorouracil, Gemcitabine and MRTX1133. For MRTX1133 the single-point interaction energy at the complex geometry is Delta_E_int,std = -35.03 kcal/mol (E_complex = -234.173301 Eh, E_sheet = -107.765351 Eh, E_drug,complex = -126.352121 Eh). Relative to the fully relaxed isolated drug (E_drug,opt = -126.407348 Eh) an intramolecular deformation penalty Delta_E_def = +34.65 kcal/mol is incurred, giving a net relaxed adsorption energy Delta_E_ads,rel of -0.38 to -4.99 kcal/mol across orientations (Table S4). The single-point Delta_E_int,std is therefore a chemically homogeneous electronic target for the surrogate model but should not be read as a bulk adsorption free energy.</w:t>
      </w:r>
    </w:p>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standardized electronic interaction energy (Delta_E_int,std) was evaluated under a fully leak-free nested 5x5 cross-validation protocol (StandardScaler fit inside the modelling pipeline on outer-training folds only; Ridge alpha selected by inner cross-validation, final alpha = 3.0), achieving solid pooled predictive fidelity: nested Q²_CV = +0.584 (individual outer-fold Q² values: Fold 1 = 0.784, Fold 2 = 0.358, Fold 3 = 0.052, Fold 4 = 0.671, Fold 5 = 0.707; mean-of-folds Q² = 0.515 +/- 0.305), RMSE = 5.11 kcal/mol (95% bootstrap CI: [4.19, 5.99]), and MAE = 4.33 kcal/mol (95% bootstrap CI: [3.42, 5.28]) (Figure 3a). Y-scrambling permutation testing across 1,000 iterations (identical nested procedure on permuted labels) yielded a mean scrambled Q² of -0.12 (Figure 3c), with an empirical permutation p-value of 0.001, confirming that the observed predictive performance is unlikely to arise from chance correlation. In the Williams plot (Figure 3b), all 33 of 33 training compounds fell within the +/-3sigma standardized residual boundary; against the separate warning leverage limit h* = 0.455, 32 of 33 compounds (97.0%) fell inside the domain, with only Methotrexate (hi = 0.481) exceeding it. Cobimetinib (hi = 0.155) and Paclitaxel (hi = 0.234)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5010181"/>
            <wp:docPr id="4" name="Picture 4"/>
            <wp:cNvGraphicFramePr>
              <a:graphicFrameLocks noChangeAspect="1"/>
            </wp:cNvGraphicFramePr>
            <a:graphic>
              <a:graphicData uri="http://schemas.openxmlformats.org/drawingml/2006/picture">
                <pic:pic>
                  <pic:nvPicPr>
                    <pic:cNvPr id="0" name="fig8_qspr_validation_final.jpg"/>
                    <pic:cNvPicPr/>
                  </pic:nvPicPr>
                  <pic:blipFill>
                    <a:blip r:embed="rId12"/>
                    <a:stretch>
                      <a:fillRect/>
                    </a:stretch>
                  </pic:blipFill>
                  <pic:spPr>
                    <a:xfrm>
                      <a:off x="0" y="0"/>
                      <a:ext cx="5669280" cy="5010181"/>
                    </a:xfrm>
                    <a:prstGeom prst="rect"/>
                  </pic:spPr>
                </pic:pic>
              </a:graphicData>
            </a:graphic>
          </wp:inline>
        </w:drawing>
      </w:r>
    </w:p>
    <w:p>
      <w:pPr>
        <w:spacing w:after="200" w:line="276" w:lineRule="auto"/>
      </w:pPr>
      <w:r>
        <w:rPr>
          <w:b/>
          <w:color w:val="004D40"/>
          <w:sz w:val="18"/>
        </w:rPr>
        <w:t xml:space="preserve">Figure 3: </w:t>
      </w:r>
      <w:r>
        <w:rPr>
          <w:i/>
          <w:sz w:val="18"/>
        </w:rPr>
        <w:t xml:space="preserve"> Statistical Validation and Applicability Domain of the Regularized Ridge QSPR Surrogate Model (leak-free nested 5x5 CV): (a) Out-of-fold (OOF) observed vs predicted Delta_E_int,std parity plot (Q²_CV = +0.584, RMSE = 5.11 kcal/mol, MAE = 4.33 kcal/mol); (b) Williams plot defining the OECD Principle 3 applicability domain (p=4, n=33, warning leverage limit h* = 0.455, standardized residual boundaries +/-3sigma; 32/33 training compounds fully contained); (c) 1,000 Y-scrambling permutation distribution (mean Q²_scrambled = -0.12, empirical permutation p = 0.001); (d) Prospective GFN2-xTB quantum confirmation on prioritized screening leads (MAE = 3.82 kcal/mol, RMSE = 5.16 kcal/mol across five prioritized leads).</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The calibrated surrogate QSPR model was deployed across an extended library of 350 DrugBank oncology candidates following a strictly decoupled screening pipeline: (i) QSPR-predicted Delta_E_int,std ranking → (ii) applicability domain (AD) filtering → (iii) prospective GFN2-xTB quantum mechanical recalculation on top leads → (iv) confirmatory AutoDock Vina docking on PDB 7RPZ. Applicability domain analysis of the 350 screening candidates against the hat-matrix leverage threshold h* = 0.455 revealed that 328 of 350 candidates (93.7%) fell within the training domain, while 22 candidates (6.3%) exceeded the leverage threshold and were flagged as extrapolations. Only candidates within the AD were retained for lead prioritization.</w:t>
      </w:r>
    </w:p>
    <w:p>
      <w:r>
        <w:t>The top five prioritized clinical-stage leads were subjected to prospective GFN2-xTB quantum confirmation and confirmatory AutoDock Vina docking against PDB 7RPZ (Table 2, Figure 4). Individual hat-matrix leverage values confirmed that all top leads fell well within the applicability domain (Avapritinib hi = 0.400, Futibatinib hi = 0.307, Belumosudil hi = 0.355, Capivasertib hi = 0.411, Pimicotinib hi = 0.327; all &lt; h* = 0.455). Prospective quantum recalculations showed informative predictive performance (MAE = 3.82 kcal/mol, RMSE = 5.16 kcal/mol), with close agreement for three of five prioritized leads and larger deviations for Avapritinib and Capivasertib (Futibatinib: QSPR -16.02 vs QM -16.39 kcal/mol, error = +0.37 kcal/mol; Belumosudil: QSPR -15.43 vs QM -17.36 kcal/mol, error = +1.93 kcal/mol; Pimicotinib: QSPR -13.88 vs QM -14.99 kcal/mol, error = +1.11 kcal/mol; Avapritinib: error = -6.27 kcal/mol; Capivasertib: error = +9.42 kcal/mol). All leads demonstrated favorable predicted Switch II pocket compatibility (-7.64 to -9.43 kcal/mol) with size-normalized Ligand Efficiency (LE = 0.255 to 0.292 kcal/mol/atom).</w:t>
      </w:r>
    </w:p>
    <w:p/>
    <w:p>
      <w:r>
        <w:rPr>
          <w:b/>
          <w:sz w:val="20"/>
        </w:rPr>
        <w:t>Table 2: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Delta_E_int,std (kcal/mol)</w:t>
            </w:r>
          </w:p>
        </w:tc>
        <w:tc>
          <w:tcPr>
            <w:tcW w:type="dxa" w:w="1337"/>
            <w:shd w:fill="004D40"/>
            <w:tcMar>
              <w:top w:w="50" w:type="dxa"/>
              <w:bottom w:w="50" w:type="dxa"/>
              <w:left w:w="70" w:type="dxa"/>
              <w:right w:w="70" w:type="dxa"/>
            </w:tcMar>
          </w:tcPr>
          <w:p>
            <w:r>
              <w:rPr>
                <w:b/>
                <w:color w:val="FFFFFF"/>
                <w:sz w:val="17"/>
              </w:rPr>
              <w:t>Recalculated QM Delta_E_int,std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-19.40</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-6.27</w:t>
            </w:r>
          </w:p>
        </w:tc>
        <w:tc>
          <w:tcPr>
            <w:tcW w:type="dxa" w:w="1337"/>
            <w:tcMar>
              <w:top w:w="35" w:type="dxa"/>
              <w:bottom w:w="35" w:type="dxa"/>
              <w:left w:w="50" w:type="dxa"/>
              <w:right w:w="50" w:type="dxa"/>
            </w:tcMar>
          </w:tcPr>
          <w:p>
            <w:r>
              <w:rPr>
                <w:sz w:val="16"/>
              </w:rPr>
              <w:t>0.400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0.255</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-16.02</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+0.37</w:t>
            </w:r>
          </w:p>
        </w:tc>
        <w:tc>
          <w:tcPr>
            <w:tcW w:type="dxa" w:w="1337"/>
            <w:tcMar>
              <w:top w:w="35" w:type="dxa"/>
              <w:bottom w:w="35" w:type="dxa"/>
              <w:left w:w="50" w:type="dxa"/>
              <w:right w:w="50" w:type="dxa"/>
            </w:tcMar>
          </w:tcPr>
          <w:p>
            <w:r>
              <w:rPr>
                <w:sz w:val="16"/>
              </w:rPr>
              <w:t>0.307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0.292</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-15.43</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+1.93</w:t>
            </w:r>
          </w:p>
        </w:tc>
        <w:tc>
          <w:tcPr>
            <w:tcW w:type="dxa" w:w="1337"/>
            <w:tcMar>
              <w:top w:w="35" w:type="dxa"/>
              <w:bottom w:w="35" w:type="dxa"/>
              <w:left w:w="50" w:type="dxa"/>
              <w:right w:w="50" w:type="dxa"/>
            </w:tcMar>
          </w:tcPr>
          <w:p>
            <w:r>
              <w:rPr>
                <w:sz w:val="16"/>
              </w:rPr>
              <w:t>0.355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0.264</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-12.01</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+9.42</w:t>
            </w:r>
          </w:p>
        </w:tc>
        <w:tc>
          <w:tcPr>
            <w:tcW w:type="dxa" w:w="1337"/>
            <w:tcMar>
              <w:top w:w="35" w:type="dxa"/>
              <w:bottom w:w="35" w:type="dxa"/>
              <w:left w:w="50" w:type="dxa"/>
              <w:right w:w="50" w:type="dxa"/>
            </w:tcMar>
          </w:tcPr>
          <w:p>
            <w:r>
              <w:rPr>
                <w:sz w:val="16"/>
              </w:rPr>
              <w:t>0.411 (IN)</w:t>
            </w:r>
          </w:p>
        </w:tc>
        <w:tc>
          <w:tcPr>
            <w:tcW w:type="dxa" w:w="1337"/>
            <w:tcMar>
              <w:top w:w="35" w:type="dxa"/>
              <w:bottom w:w="35" w:type="dxa"/>
              <w:left w:w="50" w:type="dxa"/>
              <w:right w:w="50" w:type="dxa"/>
            </w:tcMar>
          </w:tcPr>
          <w:p>
            <w:r>
              <w:rPr>
                <w:sz w:val="16"/>
              </w:rPr>
              <w:t>-7.82</w:t>
            </w:r>
          </w:p>
        </w:tc>
        <w:tc>
          <w:tcPr>
            <w:tcW w:type="dxa" w:w="1337"/>
            <w:tcMar>
              <w:top w:w="35" w:type="dxa"/>
              <w:bottom w:w="35" w:type="dxa"/>
              <w:left w:w="50" w:type="dxa"/>
              <w:right w:w="50" w:type="dxa"/>
            </w:tcMar>
          </w:tcPr>
          <w:p>
            <w:r>
              <w:rPr>
                <w:sz w:val="16"/>
              </w:rPr>
              <w:t>0.270</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-13.88</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+1.11</w:t>
            </w:r>
          </w:p>
        </w:tc>
        <w:tc>
          <w:tcPr>
            <w:tcW w:type="dxa" w:w="1337"/>
            <w:tcMar>
              <w:top w:w="35" w:type="dxa"/>
              <w:bottom w:w="35" w:type="dxa"/>
              <w:left w:w="50" w:type="dxa"/>
              <w:right w:w="50" w:type="dxa"/>
            </w:tcMar>
          </w:tcPr>
          <w:p>
            <w:r>
              <w:rPr>
                <w:sz w:val="16"/>
              </w:rPr>
              <w:t>0.327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0.273</w:t>
            </w:r>
          </w:p>
        </w:tc>
      </w:tr>
    </w:tbl>
    <w:p>
      <w:pPr>
        <w:spacing w:before="160" w:after="60"/>
        <w:jc w:val="center"/>
      </w:pPr>
      <w:r>
        <w:drawing>
          <wp:inline xmlns:a="http://schemas.openxmlformats.org/drawingml/2006/main" xmlns:pic="http://schemas.openxmlformats.org/drawingml/2006/picture">
            <wp:extent cx="5669280" cy="2943525"/>
            <wp:docPr id="5" name="Picture 5"/>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3"/>
                    <a:stretch>
                      <a:fillRect/>
                    </a:stretch>
                  </pic:blipFill>
                  <pic:spPr>
                    <a:xfrm>
                      <a:off x="0" y="0"/>
                      <a:ext cx="5669280" cy="2943525"/>
                    </a:xfrm>
                    <a:prstGeom prst="rect"/>
                  </pic:spPr>
                </pic:pic>
              </a:graphicData>
            </a:graphic>
          </wp:inline>
        </w:drawing>
      </w:r>
    </w:p>
    <w:p>
      <w:pPr>
        <w:spacing w:after="200" w:line="276" w:lineRule="auto"/>
      </w:pPr>
      <w:r>
        <w:rPr>
          <w:b/>
          <w:color w:val="004D40"/>
          <w:sz w:val="18"/>
        </w:rPr>
        <w:t xml:space="preserve">Figure 4: </w:t>
      </w:r>
      <w:r>
        <w:rPr>
          <w:i/>
          <w:sz w:val="18"/>
        </w:rPr>
        <w:t xml:space="preserve"> Multi-Objective Evaluation of Prioritized Leads and Benchmark Controls from the 350-Compound Virtual Screen: (a) AutoDock Vina binding scores on PDB 7RPZ comparing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1894952"/>
            <wp:docPr id="6" name="Picture 6"/>
            <wp:cNvGraphicFramePr>
              <a:graphicFrameLocks noChangeAspect="1"/>
            </wp:cNvGraphicFramePr>
            <a:graphic>
              <a:graphicData uri="http://schemas.openxmlformats.org/drawingml/2006/picture">
                <pic:pic>
                  <pic:nvPicPr>
                    <pic:cNvPr id="0" name="fig10_atomistic_multiscale_final.jpg"/>
                    <pic:cNvPicPr/>
                  </pic:nvPicPr>
                  <pic:blipFill>
                    <a:blip r:embed="rId14"/>
                    <a:stretch>
                      <a:fillRect/>
                    </a:stretch>
                  </pic:blipFill>
                  <pic:spPr>
                    <a:xfrm>
                      <a:off x="0" y="0"/>
                      <a:ext cx="5669280" cy="1894952"/>
                    </a:xfrm>
                    <a:prstGeom prst="rect"/>
                  </pic:spPr>
                </pic:pic>
              </a:graphicData>
            </a:graphic>
          </wp:inline>
        </w:drawing>
      </w:r>
    </w:p>
    <w:p>
      <w:pPr>
        <w:spacing w:after="200" w:line="276" w:lineRule="auto"/>
      </w:pPr>
      <w:r>
        <w:rPr>
          <w:b/>
          <w:color w:val="004D40"/>
          <w:sz w:val="18"/>
        </w:rPr>
        <w:t xml:space="preserve">Figure 5: </w:t>
      </w:r>
      <w:r>
        <w:rPr>
          <w:i/>
          <w:sz w:val="18"/>
        </w:rPr>
        <w:t xml:space="preserve"> Multi-scale structural context and real GFN2-xTB interfacial energetics (schematic cards; the reported values are GFN2-xTB output, not a rendered structure): (a) MRTX1133 in the KRAS-G12D Switch II allosteric cleft (PDB ID: 7RPZ, 1.30 Å), with the ionic salt-bridge to mutant Asp12 (OD2 = 2.70 Å from the crystallographic coordinates); (b) pristine finite planar g-C3N4 cluster (C21N21H6, 48 atoms), MRTX1133 in standardized parallel stacking (initial separation z = 3.35 Å), real Delta_E_ads = -35.03 kcal/mol and interfacial charge transfer Delta_Q = +0.19 e; (c) B/P co-doped cluster (C20B1N20P1H6), real Delta_E_ads = -35.04 kcal/mol, Delta_Q = +0.15 e, GFN2-xTB dopant partial charges q(B) = +0.36 e and q(P) = -0.20 e.</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5a),underscoring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Effect of B/P Substitution on Drug–Carrier Molecular Interaction Profiles</w:t>
      </w:r>
    </w:p>
    <w:p>
      <w:r>
        <w:t>The standardized electronic interaction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 e across the cohort; for MRTX1133 specifically: Delta_Q = +0.15 e, vs. +0.19 e on the pristine carrier). Importantly, the overall interaction energetics are only modestly affected by B/P co-doping: for MRTX1133, Delta_E_int,std changes from -35.03 kcal/mol (pristine) to -35.04 kcal/mol (B/P co-doped, C20B1N20P1H6),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interaction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at fixed interplanar stacking distance (z = 3.35 Å);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distinct from the fully relaxed equilibrium minimum (d_pi-pi ≈ 3.25 Å) obtained in unconstrained planar optimizations.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Summary</w:t>
      </w:r>
    </w:p>
    <w:p>
      <w:r>
        <w:t>In this study, we established an integrated computational chemistry, cheminformatics, and molecular screening investigation of KRAS-G12D allosteric inhibitors across graphitic carbon nitride (g-C3N4) interaction templates. Our findings demonstrate that: (1) Molecular docking on the ultra-high resolution crystal structure of KRAS-G12D (PDB ID: 7RPZ, 1.30 Å) reproduces the native MRTX1133 binding pose with a heavy-atom RMSD of 1.419 Å, validating docking protocol pose recovery; (2) Switch II allosteric pocket docking exhibits descriptive differences consistent with state- and mechanism-dependent structural pharmacology (omnibus Kruskal-Wallis H = 5.763, p = 0.1237), where tri-complex active-state inhibitors (RMC-6236) and covalent G12C compounds require distinct multi-protein contexts; (3) GFN2-xTB calculations across 38 molecules and 4 nanocarriers confirm favorable non-covalent interaction (Delta_E_int,std = -4.98 to -39.89 kcal/mol at standardized z = 3.35 Å), with B/P co-doping (C20B1N20P1H6) primarily modifying interfacial charge polarization (Delta_Q = +0.15 e for MRTX1133, vs. +0.19 e on the pristine carrier) rather than substantially altering interaction energetics; (4) A leak-free nested 5x5 surrogate QSPR model structured under OECD Principles 1-5 (Table S3) and verified by 1,000 Y-scrambling permutations (nested Q²_CV = +0.584 vs Q²_scrambled = -0.12, p = 0.001) successfully prioritizes clinical-stage DrugBank oncology leads; prospective quantum confirmation showed informative predictive performance (MAE = 3.82 kcal/mol) and favorable predicted Switch II pocket compatibility (LE = 0.255 to 0.292 kcal/mol/atom). This work provides an auditable theoretical foundation for exploring molecular diversity in mutant KRAS drug discovery.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https://github.com/sircalch/kras-pancreatic-gc3n4-ai (latest release)</w:t>
        <w:br/>
        <w:t>• Permanent Archival DOI: Zenodo Repository DOI: 10.5281/zenodo.22187819 (concept DOI, always resolves to the latest archived version)</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 G12D Inhibitor. Journal of Medicinal Chemistry 2021, 65 (4), 3123-3133. </w:t>
      </w:r>
      <w:r>
        <w:rPr>
          <w:i/>
          <w:color w:val="004D40"/>
          <w:sz w:val="18"/>
        </w:rPr>
        <w:t>doi:10.1021/acs.jmedchem.1c01688</w:t>
      </w:r>
    </w:p>
    <w:p>
      <w:pPr>
        <w:spacing w:after="60"/>
        <w:ind w:left="576"/>
      </w:pPr>
      <w:r>
        <w:rPr>
          <w:b/>
        </w:rPr>
        <w:t xml:space="preserve">2. </w:t>
      </w:r>
      <w:r>
        <w:t xml:space="preserve">Hallin, J.; Bowcut, V.; Calinisan, A.; Briere, D. M.; Hargis, L.; Engstrom, L. D.; Laguer, J.; Medwid, J.; Vanderpool, D.; Lifset, E.; et al. Anti-tumor efficacy of a potent and selective non-covalent KRASG12D inhibitor. Nature Medicine 2022, 28 (10), 2171-2182. </w:t>
      </w:r>
      <w:r>
        <w:rPr>
          <w:i/>
          <w:color w:val="004D40"/>
          <w:sz w:val="18"/>
        </w:rPr>
        <w:t>doi:10.1038/s41591-022-02007-7</w:t>
      </w:r>
    </w:p>
    <w:p>
      <w:pPr>
        <w:spacing w:after="60"/>
        <w:ind w:left="576"/>
      </w:pPr>
      <w:r>
        <w:rPr>
          <w:b/>
        </w:rPr>
        <w:t xml:space="preserve">3. </w:t>
      </w:r>
      <w:r>
        <w:t xml:space="preserve">Kemp, S. B.; Cheng, N.; Markosyan, N.; Sor, R.; Kim, I. K.; Hallin, J.; Shoush, J.; Quinones, L.; Brown, N. V.; Bassett, J. B.; et al. Efficacy of a Small-Molecule Inhibitor of KrasG12D in Immunocompetent Models of Pancreatic Cancer. Cancer Discovery 2022,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Punekar, S. R.; Velcheti, V.; Neel, B. G.; Wong, K. K. The current state of the art and future trends in RAS-targeted cancer therapies. Nature Reviews Clinical Oncology 2022, 19 (10), 637-655. </w:t>
      </w:r>
      <w:r>
        <w:rPr>
          <w:i/>
          <w:color w:val="004D40"/>
          <w:sz w:val="18"/>
        </w:rPr>
        <w:t>doi:10.1038/s41571-022-00671-9</w:t>
      </w:r>
    </w:p>
    <w:p>
      <w:pPr>
        <w:spacing w:after="60"/>
        <w:ind w:left="576"/>
      </w:pPr>
      <w:r>
        <w:rPr>
          <w:b/>
        </w:rPr>
        <w:t xml:space="preserve">6. </w:t>
      </w:r>
      <w:r>
        <w:t xml:space="preserve">Pushalkar, S.; Hundeyin, M.; Daley, D.; Zambirinis, C. P.; Kurz, E.; Mishra, A.; Mohan, N.; Aykut, B.; Usyk, M.; Torres, L. E.; et al. The Pancreatic Cancer Microbiome Promotes Oncogenesis by Induction of Innate and Adaptive Immune Suppression. Cancer Discovery 2018, 8 (4), 403-416. </w:t>
      </w:r>
      <w:r>
        <w:rPr>
          <w:i/>
          <w:color w:val="004D40"/>
          <w:sz w:val="18"/>
        </w:rPr>
        <w:t>doi:10.1158/2159-8290.cd-17-1134</w:t>
      </w:r>
    </w:p>
    <w:p>
      <w:pPr>
        <w:spacing w:after="60"/>
        <w:ind w:left="576"/>
      </w:pPr>
      <w:r>
        <w:rPr>
          <w:b/>
        </w:rPr>
        <w:t xml:space="preserve">7. </w:t>
      </w:r>
      <w:r>
        <w:t xml:space="preserve">Maitra, A.; Hruban, R. H. Pancreatic Cancer. Annual Review of Pathology: Mechanisms of Disease 2008, 3 (1), 157-188. </w:t>
      </w:r>
      <w:r>
        <w:rPr>
          <w:i/>
          <w:color w:val="004D40"/>
          <w:sz w:val="18"/>
        </w:rPr>
        <w:t>doi:10.1146/annurev.pathmechdis.3.121806.154305</w:t>
      </w:r>
    </w:p>
    <w:p>
      <w:pPr>
        <w:spacing w:after="60"/>
        <w:ind w:left="576"/>
      </w:pPr>
      <w:r>
        <w:rPr>
          <w:b/>
        </w:rPr>
        <w:t xml:space="preserve">8. </w:t>
      </w:r>
      <w:r>
        <w:t xml:space="preserve">Ryan, D. P.; Hong, T. S.; Bardeesy, N. Pancreatic Adenocarcinoma. New England Journal of Medicine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New England Journal of Medicine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New England Journal of Medicine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Nature Materials 2008,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&amp; Environmental Science 2012, 5 (5), 6717. </w:t>
      </w:r>
      <w:r>
        <w:rPr>
          <w:i/>
          <w:color w:val="004D40"/>
          <w:sz w:val="18"/>
        </w:rPr>
        <w:t>doi:10.1039/c2ee03479d</w:t>
      </w:r>
    </w:p>
    <w:p>
      <w:pPr>
        <w:spacing w:after="60"/>
        <w:ind w:left="576"/>
      </w:pPr>
      <w:r>
        <w:rPr>
          <w:b/>
        </w:rPr>
        <w:t xml:space="preserve">13. </w:t>
      </w:r>
      <w:r>
        <w:t xml:space="preserve">Ong, W. J.; Tan, L. L.; Ng, Y. H.; Yong, S. T.; Chai, S. P. Graphitic Carbon Nitride (g-C 3 N 4 )-Based Photocatalysts for Artificial Photosynthesis and Environmental Remediation: Are We a Step Closer To Achieving Sustainability?. Chemical Reviews 2016, 116 (12), 7159-7329. </w:t>
      </w:r>
      <w:r>
        <w:rPr>
          <w:i/>
          <w:color w:val="004D40"/>
          <w:sz w:val="18"/>
        </w:rPr>
        <w:t>doi:10.1021/acs.chemrev.6b00075</w:t>
      </w:r>
    </w:p>
    <w:p>
      <w:pPr>
        <w:spacing w:after="60"/>
        <w:ind w:left="576"/>
      </w:pPr>
      <w:r>
        <w:rPr>
          <w:b/>
        </w:rPr>
        <w:t xml:space="preserve">14. </w:t>
      </w:r>
      <w:r>
        <w:t xml:space="preserve">Lin, L.; Song, J.; Yang, H.; Chen, X. Yolk–Shell Nanostructures: Design, Synthesis, and Biomedical Applications. Advanced Materials 2017, 30 (6). </w:t>
      </w:r>
      <w:r>
        <w:rPr>
          <w:i/>
          <w:color w:val="004D40"/>
          <w:sz w:val="18"/>
        </w:rPr>
        <w:t>doi:10.1002/adma.201704639</w:t>
      </w:r>
    </w:p>
    <w:p>
      <w:pPr>
        <w:spacing w:after="60"/>
        <w:ind w:left="576"/>
      </w:pPr>
      <w:r>
        <w:rPr>
          <w:b/>
        </w:rPr>
        <w:t xml:space="preserve">15. </w:t>
      </w:r>
      <w:r>
        <w:t xml:space="preserve">Feng, L.; He, F.; Yang, G.; Gai, S.; Dai, Y.; Li, C.; Yang, P. NIR-driven graphitic-phase carbon nitride nanosheets for efficient bioimaging and photodynamic therapy. Journal of Materials Chemistry B 2016, 4 (48), 8000-8008. </w:t>
      </w:r>
      <w:r>
        <w:rPr>
          <w:i/>
          <w:color w:val="004D40"/>
          <w:sz w:val="18"/>
        </w:rPr>
        <w:t>doi:10.1039/c6tb02232d</w:t>
      </w:r>
    </w:p>
    <w:p>
      <w:pPr>
        <w:spacing w:after="60"/>
        <w:ind w:left="576"/>
      </w:pPr>
      <w:r>
        <w:rPr>
          <w:b/>
        </w:rPr>
        <w:t xml:space="preserve">16. </w:t>
      </w:r>
      <w:r>
        <w:t xml:space="preserve">Babu Ganganboina, A.; Dung Nguyen, M.; Hien Luong Nguyen, T.; Prasetyo Kuncoro, E.; Doong, R. A. Boron and phosphorus co-doped one-dimensional graphitic carbon nitride for enhanced visible-light-driven photodegradation of diclofenac. Chemical Engineering Journal 2021, 425, 131520. </w:t>
      </w:r>
      <w:r>
        <w:rPr>
          <w:i/>
          <w:color w:val="004D40"/>
          <w:sz w:val="18"/>
        </w:rPr>
        <w:t>doi:10.1016/j.cej.2021.131520</w:t>
      </w:r>
    </w:p>
    <w:p>
      <w:pPr>
        <w:spacing w:after="60"/>
        <w:ind w:left="576"/>
      </w:pPr>
      <w:r>
        <w:rPr>
          <w:b/>
        </w:rPr>
        <w:t xml:space="preserve">17. </w:t>
      </w:r>
      <w:r>
        <w:t xml:space="preserve">Zhang, J.; Zhang, G.; Chen, X.; Lin, S.; Möhlmann, L.; Dołęga, G.; Lipner, G.; Antonietti, M.; Blechert, S.; Wang, X. Co‐Monomer Control of Carbon Nitride Semiconductors to Optimize Hydrogen Evolution with Visible Light. Angewandte Chemie International Edition 2012, 51 (13), 3183-3187. </w:t>
      </w:r>
      <w:r>
        <w:rPr>
          <w:i/>
          <w:color w:val="004D40"/>
          <w:sz w:val="18"/>
        </w:rPr>
        <w:t>doi:10.1002/anie.201106656</w:t>
      </w:r>
    </w:p>
    <w:p>
      <w:pPr>
        <w:spacing w:after="60"/>
        <w:ind w:left="576"/>
      </w:pPr>
      <w:r>
        <w:rPr>
          <w:b/>
        </w:rPr>
        <w:t xml:space="preserve">18. </w:t>
      </w:r>
      <w:r>
        <w:t xml:space="preserve">Cao, S.; Low, J.; Yu, J.; Jaroniec, M. Polymeric Photocatalysts Based on Graphitic Carbon Nitride. Advanced Materials 2015, 27 (13), 2150-2176. </w:t>
      </w:r>
      <w:r>
        <w:rPr>
          <w:i/>
          <w:color w:val="004D40"/>
          <w:sz w:val="18"/>
        </w:rPr>
        <w:t>doi:10.1002/adma.201500033</w:t>
      </w:r>
    </w:p>
    <w:p>
      <w:pPr>
        <w:spacing w:after="60"/>
        <w:ind w:left="576"/>
      </w:pPr>
      <w:r>
        <w:rPr>
          <w:b/>
        </w:rPr>
        <w:t xml:space="preserve">19. </w:t>
      </w:r>
      <w:r>
        <w:t xml:space="preserve">Pourmadadi, M.; Rahmani, E.; Eshaghi, M. M.; Shamsabadipour, A.; Ghotekar, S.; Rahdar, A.; Romanholo Ferreira, L. F. Graphitic carbon nitride (g-C3N4) synthesis methods, surface functionalization, and drug delivery applications: A review. Journal of Drug Delivery Science and Technology 2023, 79, 104001. </w:t>
      </w:r>
      <w:r>
        <w:rPr>
          <w:i/>
          <w:color w:val="004D40"/>
          <w:sz w:val="18"/>
        </w:rPr>
        <w:t>doi:10.1016/j.jddst.2022.104001</w:t>
      </w:r>
    </w:p>
    <w:p>
      <w:pPr>
        <w:spacing w:after="60"/>
        <w:ind w:left="576"/>
      </w:pPr>
      <w:r>
        <w:rPr>
          <w:b/>
        </w:rPr>
        <w:t xml:space="preserve">20. </w:t>
      </w:r>
      <w:r>
        <w:t xml:space="preserve">Liu, L.; Du, X. Polyethylenimine-modified graphitic carbon nitride nanosheets: a label-free Raman traceable siRNA delivery system. Journal of Materials Chemistry B 2021, 9 (34), 6895-6901. </w:t>
      </w:r>
      <w:r>
        <w:rPr>
          <w:i/>
          <w:color w:val="004D40"/>
          <w:sz w:val="18"/>
        </w:rPr>
        <w:t>doi:10.1039/d1tb00984b</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The Journal of Chemical Physics 2019, 150 (15).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The Journal of Chemical Physics 2010, 132 (15). </w:t>
      </w:r>
      <w:r>
        <w:rPr>
          <w:i/>
          <w:color w:val="004D40"/>
          <w:sz w:val="18"/>
        </w:rPr>
        <w:t>doi:10.1063/1.3382344</w:t>
      </w:r>
    </w:p>
    <w:p>
      <w:pPr>
        <w:spacing w:after="60"/>
        <w:ind w:left="576"/>
      </w:pPr>
      <w:r>
        <w:rPr>
          <w:b/>
        </w:rPr>
        <w:t xml:space="preserve">25. </w:t>
      </w:r>
      <w:r>
        <w:t xml:space="preserve">Spicher, S.; Grimme, S. Robust Atomistic Modeling of Materials, Organometallic, and Biochemical Systems. Angewandte Chemie International Edition 2020, 59 (36), 15665-15673. </w:t>
      </w:r>
      <w:r>
        <w:rPr>
          <w:i/>
          <w:color w:val="004D40"/>
          <w:sz w:val="18"/>
        </w:rPr>
        <w:t>doi:10.1002/anie.202004239</w:t>
      </w:r>
    </w:p>
    <w:p>
      <w:pPr>
        <w:spacing w:after="60"/>
        <w:ind w:left="576"/>
      </w:pPr>
      <w:r>
        <w:rPr>
          <w:b/>
        </w:rPr>
        <w:t xml:space="preserve">26. </w:t>
      </w:r>
      <w:r>
        <w:t xml:space="preserve">Kessler, F. K.; Zheng, Y.; Schwarz, D.; Merschjann, C.; Schnick, W.; Wang, X.; Bojdys, M. J. Functional carbon nitride materials — design strategies for electrochemical devices. Nature Reviews Materials 2017, 2 (6).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and morphology and their use as metal-free catalysts. Journal of Materials Chemistry 2008, 18 (41), 4893. </w:t>
      </w:r>
      <w:r>
        <w:rPr>
          <w:i/>
          <w:color w:val="004D40"/>
          <w:sz w:val="18"/>
        </w:rPr>
        <w:t>doi:10.1039/b800274f</w:t>
      </w:r>
    </w:p>
    <w:p>
      <w:pPr>
        <w:spacing w:after="60"/>
        <w:ind w:left="576"/>
      </w:pPr>
      <w:r>
        <w:rPr>
          <w:b/>
        </w:rPr>
        <w:t xml:space="preserve">28. </w:t>
      </w:r>
      <w:r>
        <w:t xml:space="preserve">Geerlings, P.; De Proft, F.; Langenaeker, W. Conceptual Density Functional Theory. Chemical Reviews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Journal of Computational Chemistry 2009,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Journal of Chemical Information and Modeling 2021, 61 (8), 3891-3898. </w:t>
      </w:r>
      <w:r>
        <w:rPr>
          <w:i/>
          <w:color w:val="004D40"/>
          <w:sz w:val="18"/>
        </w:rPr>
        <w:t>doi:10.1021/acs.jcim.1c00203</w:t>
      </w:r>
    </w:p>
    <w:p>
      <w:pPr>
        <w:spacing w:after="60"/>
        <w:ind w:left="576"/>
      </w:pPr>
      <w:r>
        <w:rPr>
          <w:b/>
        </w:rPr>
        <w:t xml:space="preserve">31. </w:t>
      </w:r>
      <w:r>
        <w:t xml:space="preserve">Berman, H. M. The Protein Data Bank. Nucleic Acids Research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Research 2020,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Nature Reviews Drug Discovery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Journal of the American Chemical Society 1999, 121 (9), 1922-1924. </w:t>
      </w:r>
      <w:r>
        <w:rPr>
          <w:i/>
          <w:color w:val="004D40"/>
          <w:sz w:val="18"/>
        </w:rPr>
        <w:t>doi:10.1021/ja983494x</w:t>
      </w:r>
    </w:p>
    <w:p>
      <w:pPr>
        <w:spacing w:after="60"/>
        <w:ind w:left="576"/>
      </w:pPr>
      <w:r>
        <w:rPr>
          <w:b/>
        </w:rPr>
        <w:t xml:space="preserve">37. </w:t>
      </w:r>
      <w:r>
        <w:t xml:space="preserve">Chattaraj, P. K.; Maiti, B.; Sarkar, U. Philicity: A Unified Treatment of Chemical Reactivity and Selectivity. The Journal of Physical Chemistry A 2003, 107 (25),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&amp; Combinatorial Science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Molecular Informatics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Case Deletions. Applied Statistics 1987, 36 (2), 181.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QSPR/QSAR. Journal of Chemical Information and Modeling 2007, 47 (6), 2345-2357. </w:t>
      </w:r>
      <w:r>
        <w:rPr>
          <w:i/>
          <w:color w:val="004D40"/>
          <w:sz w:val="18"/>
        </w:rPr>
        <w:t>doi:10.1021/ci700157b</w:t>
      </w:r>
    </w:p>
    <w:p>
      <w:pPr>
        <w:spacing w:after="60"/>
        <w:ind w:left="576"/>
      </w:pPr>
      <w:r>
        <w:rPr>
          <w:b/>
        </w:rPr>
        <w:t xml:space="preserve">44. </w:t>
      </w:r>
      <w:r>
        <w:t xml:space="preserve">Varoquaux, G.; Buitinck, L.; Louppe, G.; Grisel, O.; Pedregosa, F.; Mueller, A. Scikit-learn. GetMobile: Mobile Computing and Communications 2015, 19 (1), 29-33. </w:t>
      </w:r>
      <w:r>
        <w:rPr>
          <w:i/>
          <w:color w:val="004D40"/>
          <w:sz w:val="18"/>
        </w:rPr>
        <w:t>doi:10.1145/2786984.2786995</w:t>
      </w:r>
    </w:p>
    <w:p>
      <w:pPr>
        <w:spacing w:after="60"/>
        <w:ind w:left="576"/>
      </w:pPr>
      <w:r>
        <w:rPr>
          <w:b/>
        </w:rPr>
        <w:t xml:space="preserve">45. </w:t>
      </w:r>
      <w:r>
        <w:t xml:space="preserve">Provenzano, P.; Cuevas, C.; Chang, A.; Goel, V.; Von Hoff, D.; Hingorani, S. Enzymatic Targeting of the Stroma Ablates Physical Barriers to Treatment of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2012,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doi:10.1126/science.1171362</w:t>
      </w:r>
    </w:p>
    <w:p>
      <w:pPr>
        <w:spacing w:after="60"/>
        <w:ind w:left="576"/>
      </w:pPr>
      <w:r>
        <w:rPr>
          <w:b/>
        </w:rPr>
        <w:t xml:space="preserve">48. </w:t>
      </w:r>
      <w:r>
        <w:t xml:space="preserve">Blanco, E.; Shen, H.; Ferrari, M. Principles of nanoparticle design for overcoming biological barriers to drug delivery. Nature Biotechnology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Nature Nanotechnology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Nature Reviews Cancer 2016,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Journal of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4D40"/>
          <w:sz w:val="18"/>
        </w:rPr>
        <w:t>PMID: 2946403</w:t>
      </w:r>
    </w:p>
    <w:p>
      <w:pPr>
        <w:spacing w:after="60"/>
        <w:ind w:left="576"/>
      </w:pPr>
      <w:r>
        <w:rPr>
          <w:b/>
        </w:rPr>
        <w:t xml:space="preserve">53. </w:t>
      </w:r>
      <w:r>
        <w:t xml:space="preserve">Mitchell, M. J.; Billingsley, M. M.; Haley, R. M.; Wechsler, M. E.; Peppas, N. A.; Langer, R. Engineering precision nanoparticles for drug delivery. Nature Reviews Drug Discovery 2020, 20 (2), 101-124. </w:t>
      </w:r>
      <w:r>
        <w:rPr>
          <w:i/>
          <w:color w:val="004D40"/>
          <w:sz w:val="18"/>
        </w:rPr>
        <w:t>doi:10.1038/s41573-020-0090-8</w:t>
      </w:r>
    </w:p>
    <w:p>
      <w:pPr>
        <w:spacing w:after="60"/>
        <w:ind w:left="576"/>
      </w:pPr>
      <w:r>
        <w:rPr>
          <w:b/>
        </w:rPr>
        <w:t xml:space="preserve">54. </w:t>
      </w:r>
      <w:r>
        <w:t xml:space="preserve">Awad, M. M.; Liu, S.; Rybkin, I. I.; Arbour, K. C.; Dilly, J.; Zhu, V. W.; Johnson, M. L.; Heist, R. S.; Patil, T.; Riely, G. J.; et al. Acquired Resistance to KRAS G12C Inhibition in Cancer. New England Journal of Medicine 2021, 384 (25), 2382-2393. </w:t>
      </w:r>
      <w:r>
        <w:rPr>
          <w:i/>
          <w:color w:val="004D40"/>
          <w:sz w:val="18"/>
        </w:rPr>
        <w:t>doi:10.1056/nejmoa2105281</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Nature Reviews Drug Discovery 2014, 13 (11), 828-851. </w:t>
      </w:r>
      <w:r>
        <w:rPr>
          <w:i/>
          <w:color w:val="004D40"/>
          <w:sz w:val="18"/>
        </w:rPr>
        <w:t>doi:10.1038/nrd4389</w:t>
      </w:r>
    </w:p>
    <w:p>
      <w:pPr>
        <w:spacing w:after="60"/>
        <w:ind w:left="576"/>
      </w:pPr>
      <w:r>
        <w:rPr>
          <w:b/>
        </w:rPr>
        <w:t xml:space="preserve">57. </w:t>
      </w:r>
      <w:r>
        <w:t xml:space="preserve">Kessler, D.; Gmachl, M.; Mantoulidis, A.; Martin, L. J.; Zoephel, A.; Mayer, M.; Gollner, A.; Covini, D.; Fischer, S.; Gerstberger, T.; et al. Drugging an undruggable pocket on KRAS. Proceedings of the National Academy of Sciences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Discovery 2022, 12 (4), 924-937. </w:t>
      </w:r>
      <w:r>
        <w:rPr>
          <w:i/>
          <w:color w:val="004D40"/>
          <w:sz w:val="18"/>
        </w:rPr>
        <w:t>doi:10.1158/2159-8290.cd-21-1331</w:t>
      </w:r>
    </w:p>
    <w:p>
      <w:pPr>
        <w:spacing w:after="60"/>
        <w:ind w:left="576"/>
      </w:pPr>
      <w:r>
        <w:rPr>
          <w:b/>
        </w:rPr>
        <w:t xml:space="preserve">59. </w:t>
      </w:r>
      <w:r>
        <w:t xml:space="preserve">Pandey, D.; Chauhan, S. C.; Kashyap, V. K.; Roy, K. K. Structural insights into small-molecule KRAS inhibitors for targeting KRAS mutant cancers. European Journal of Medicinal Chemistry 2024, 277, 116771. </w:t>
      </w:r>
      <w:r>
        <w:rPr>
          <w:i/>
          <w:color w:val="004D40"/>
          <w:sz w:val="18"/>
        </w:rPr>
        <w:t>doi:10.1016/j.ejmech.2024.116771</w:t>
      </w:r>
    </w:p>
    <w:p>
      <w:pPr>
        <w:spacing w:after="60"/>
        <w:ind w:left="576"/>
      </w:pPr>
      <w:r>
        <w:rPr>
          <w:b/>
        </w:rPr>
        <w:t xml:space="preserve">60. </w:t>
      </w:r>
      <w:r>
        <w:t xml:space="preserve">Kim, D.; Herdeis, L.; Rudolph, D.; Zhao, Y.; Böttcher, J.; Vides, A.; Ayala-Santos, C. I.; Pourfarjam, Y.; Cuevas-Navarro, A.; Xue, J. Y.;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Manzur, A.; Oluwasanmi, A.; Moss, D.; Curtis, A.; Hoskins, C. Nanotechnologies in Pancreatic Cancer Therapy. Pharmaceutics 2017, 9 (4), 39. </w:t>
      </w:r>
      <w:r>
        <w:rPr>
          <w:i/>
          <w:color w:val="004D40"/>
          <w:sz w:val="18"/>
        </w:rPr>
        <w:t>doi:10.3390/pharmaceutics9040039</w:t>
      </w:r>
    </w:p>
    <w:p>
      <w:pPr>
        <w:spacing w:after="60"/>
        <w:ind w:left="576"/>
      </w:pPr>
      <w:r>
        <w:rPr>
          <w:b/>
        </w:rPr>
        <w:t xml:space="preserve">62. </w:t>
      </w:r>
      <w:r>
        <w:t xml:space="preserve">Hanahan, D. Hallmarks of Cancer: New Dimensions. Cancer Discovery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Proteins and Their Regulators in Human Disease.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undruggable drugged?. Nature Reviews Drug Discovery 2020, 19 (8), 533-552. </w:t>
      </w:r>
      <w:r>
        <w:rPr>
          <w:i/>
          <w:color w:val="004D40"/>
          <w:sz w:val="18"/>
        </w:rPr>
        <w:t>doi:10.1038/s41573-020-0068-6</w:t>
      </w:r>
    </w:p>
    <w:p>
      <w:pPr>
        <w:spacing w:after="60"/>
        <w:ind w:left="576"/>
      </w:pPr>
      <w:r>
        <w:rPr>
          <w:b/>
        </w:rPr>
        <w:t xml:space="preserve">66. </w:t>
      </w:r>
      <w:r>
        <w:t xml:space="preserve">Lu, W.; Zeng, R.; Pan, M.; Zhou, Y.; Tang, H.; Shen, W.; Tang, Y.; Lei, P. Pharmacokinetics, bioavailability, and tissue distribution of MRTX1133 in rats using UHPLC-MS/MS. Frontiers in Pharmacology 2024, 15. </w:t>
      </w:r>
      <w:r>
        <w:rPr>
          <w:i/>
          <w:color w:val="004D40"/>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(25), 15267-15278. </w:t>
      </w:r>
      <w:r>
        <w:rPr>
          <w:i/>
          <w:color w:val="004D40"/>
          <w:sz w:val="18"/>
        </w:rPr>
        <w:t>doi:10.1039/d5nr00795j</w:t>
      </w:r>
    </w:p>
    <w:p>
      <w:pPr>
        <w:spacing w:after="60"/>
        <w:ind w:left="576"/>
      </w:pPr>
      <w:r>
        <w:rPr>
          <w:b/>
        </w:rPr>
        <w:t xml:space="preserve">68. </w:t>
      </w:r>
      <w:r>
        <w:t xml:space="preserve">Killock, D. Pan-RAS inhibitor daraxonrasib shows promise in pancreatic cancer. Nature Reviews Clinical Oncology 2026, 23 (7), 475-475. </w:t>
      </w:r>
      <w:r>
        <w:rPr>
          <w:i/>
          <w:color w:val="004D40"/>
          <w:sz w:val="18"/>
        </w:rPr>
        <w:t>doi:10.1038/s41571-026-01162-x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