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Atomistic Modeling and QSPR-Guided Screening of 2D Graphitic Carbon Nitride Nanocarriers for KRAS-G12D Inhibitor Loading and Target Engagement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Section S1: 2D Graphitic Carbon Nitride (g-C3N4) Molecular Cluster</w:t>
      </w:r>
    </w:p>
    <w:p>
      <w:r>
        <w:t>The g-C3N4 nanocarrier is modeled as a finite planar cluster of 48 atoms, stoichiometry C21N21H6: three condensed tri-s-triazine (heptazine, C6N7) cores joined by three tertiary-amine nitrogen bridges, with the six peripheral terminal nitrogens H-passivated to keep a closed-shell singlet (Q = 0, M = 1). The B/P co-doped variant replaces one core carbon by boron and one bridging nitrogen by phosphorus (C20B1N20P1H6). All geometries were relaxed with GFN2-xTB; Mulliken partial charges on the dopants are q_B = +0.349 e and q_P = -0.168 e (results/quantum/nanocarrier_qm_results.csv).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 for every isolated drug, carrier and drug–carrier complex</w:t>
        <w:br/>
        <w:t>• RDKit v2024.03.1 &amp; Meeko v0.5.0 — descriptors, protonation, PDBQT preparation</w:t>
        <w:br/>
        <w:t>• scikit-learn v1.4.2 &amp; SciPy v1.13.0 — surrogate QSPR model and statistics</w:t>
        <w:br/>
        <w:t>• Code: https://github.com/sircalch/kras-pancreatic-gc3n4-ai</w:t>
        <w:br/>
        <w:t>• Data archive: https://doi.org/10.5281/zenodo.22187819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S1: Curated Oncology Cohort (N=33) — Real Docking Scores, Ligand Efficiency,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MW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Vina (kcal/mol)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LE (kcal/mol/atom)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dE_ads pristine (kcal/mol)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dE_ads B/P (kcal/mol)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600.6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-8.06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71.01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-35.03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-35.04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BI-2865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465.6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-8.46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-9.40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52.14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-21.58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RMC-6236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811.1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-3.38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29.47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-29.51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-29.58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HRS-4642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632.7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-9.93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41.02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-21.63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-21.87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JDQ-443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526.0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-7.68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27.39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-19.83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Sotorasib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560.6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63.19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-21.14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Adagrasib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604.1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44.61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-26.67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-27.34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BI-2852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516.6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-8.78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22.81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-11.94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MRTX1719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464.9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39.15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-21.06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-22.92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RMC-7977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865.1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-4.69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0.076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-30.83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615.4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-5.50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0.149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34.00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-18.40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-18.74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531.3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0.304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-10.28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31.18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-13.47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-14.17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457.7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-10.09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36.59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-10.90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Binimetinib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441.2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-6.79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35.23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-9.42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-10.00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393.4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36.04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-17.76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-18.26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428.4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-8.59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-9.34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33.92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-12.69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506.6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54.64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447.5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0.237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47.27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-20.30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-20.42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263.2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-10.88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27.38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-13.12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130.1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-5.07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0.563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26.66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-4.98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Capecitabine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359.4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-11.39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Irinotecan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586.7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63.10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-18.70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-19.50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853.9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0.079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-10.66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34.16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-30.28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Methotrexate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454.4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0.246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102.18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-39.17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-39.89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588.6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-6.71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20.12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-16.67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0.150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60.19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-17.22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421.4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-6.84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38.95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-16.10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-16.46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Dacarbazine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182.2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0.424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-8.98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41.20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-23.14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-24.05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Hydroxyurea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76.0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0.572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-10.92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14.00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Mitomycin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334.3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0.311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-10.31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64.32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-23.44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-24.04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Leucovorin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473.4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-20.75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Pemetrexed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427.4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29.55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-17.80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-18.97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Trabectedin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761.9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-3.05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-32.47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-33.01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canonical SMILES). No external pKa engine was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BI-2865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RMC-6236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HRS-4642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JDQ-443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Sotorasib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Adagrasib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BI-2852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MRTX1719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RMC-7977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Binimetinib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Capecitabine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Irinotecan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Methotrexate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Dacarbazine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Hydroxyurea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Mitomycin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Leucovorin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Pemetrexed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Trabectedin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Delta_E_ads (kcal/mol) of each drug on the pristine / B-P-doped g-C3N4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RidgeCV inside a leak-free nested 5x5 cross-validation (src/ml_models/train_real_qspr_model.py).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4 descriptors (MW, PSA, Polarizability_alpha, Electrophilicity_omega, matching the primary surrogate model), n=33: warning leverage h* = 0.455; 32/33 compounds inside the domain (h &lt;= h* and |std. residual| &lt;= 3).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Q2_CV = +0.584; 1000 Y-scrambling permutations, p = 0.001.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Ridge coefficients / feature importance dominated by polarizability, electrophilicity (omega), molecular size (MW) and polar surface area.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S4: Multi-Start Orientation Scan — Real GFN2-xTB Component Energies (results/quantum/multistart_adsorption_results.csv).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Drug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Orientation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E_complex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E_carrier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E_drug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E_ads (kcal/mol)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-136.600840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-3.07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-136.614861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-11.87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-136.608224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-7.71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-167.189596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-2.97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-167.183439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0.90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-167.199756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-9.34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-234.173301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-0.38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-234.174179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-0.93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-234.180646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-4.99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S5: Residue-Level Contact Frequencies on KRAS-G12D (real AutoDock Vina poses, contact distance &lt;= 3.8 Å; results/docking/residue_frequency_ranking.csv).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Switch II residue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Contact frequency (of N=33 poses)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TYR96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ASP12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GLU62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ARG68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23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GLY60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GLN99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TYR64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MET72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ASP92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THR58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HIS95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ALA59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VAL9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13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ILE100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GLU63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10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