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0695C"/>
        </w:rPr>
        <w:t>“Quantum-Informed and Machine Learning QSAR Investigation of Graphitic Carbon Nitride (g-C3N4) Nanocarriers Delivering Allosteric Inhibitors Targeting Oncogenic KRAS-G12D in Pancreatic Ductal Adenocarcinoma”</w:t>
      </w:r>
    </w:p>
    <w:p>
      <w:r>
        <w:t>for consideration for publication as a Full Research Article in the Beilstein Journal of Nanotechnology.</w:t>
      </w:r>
    </w:p>
    <w:p>
      <w:r>
        <w:t>The study integrates GFN2-xTB quantum-chemical adsorption modeling of pristine and B/P-doped 2D graphitic carbon nitride (g-C3N4), physical AutoDock Vina docking against the human KRAS-G12D crystal structure (PDB ID: 7RPZ, 1.30 Å; native MRTX1133 pose reproduced at 1.419 Å heavy-atom RMSD), and a leak-free nested cross-validated RidgeCV surrogate model, for a curated set of 33 KRAS-G12D allosteric inhibitors and PDAC therapeutics. All quantum, docking and machine-learning results in the manuscript are computed from the deposited pipeline; no descriptor or energy value is estimated from an empirical formula.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