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Atomistic Modeling and QSPR-Guided Screening of 2D Graphitic Carbon Nitride Nanocarriers for KRAS-G12D Inhibitor Loading and Target Engagement</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atomistic and quantum modeling of 2D graphitic carbon nitride (g-C3N4) nanocarriers for loading and target engagement of KRAS-G12D allosteric inhibitors in pancreatic ductal adenocarcinoma.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Pancreatic Ductal Adenocarcinoma (PDAC) is characterized by an exceptionally dense desmoplastic stroma and activating KRAS mutations, predominantly the G12D substitution (~45% of cases). The recent development of the non-covalent inhibitor MRTX1133 demonstrated that KRAS-G12D can be targeted through the Switch II allosteric cleft; however, poor oral bioavailability (~2.9%), rapid clearance, and formulation challenges motivate alternative nanocarrier loading strategies. Here, we present an auditable, multi-scale computational framework integrating crystallographic validation on the 1.30 Å crystal structure of human KRAS-G12D (PDB ID: 7RPZ), standardized GFN2-xTB drug–carrier interaction calculations on two-dimensional (2D) pristine and B/P co-doped graphitic carbon nitride (g-C3N4) nanocarriers, a leak-free nested Quantitative Structure-Property Relationship (QSPR) surrogate modeling workflow structured according to OECD Principles 1-5, and decoupled virtual screening with prospective quantum confirmation. AutoDock Vina v1.2.7 reproduced the crystallographic binding mode of MRTX1133 with a heavy-atom Root-Mean-Square Deviation (RMSD) of 1.419 Å, validating pocket fidelity. Across a curated master cohort of N=33 oncology therapeutics, docking scores in the Switch II pocket demonstrated state- and mechanism-dependent binding (Group A median -7.68 kcal/mol; Group B median -5.86 kcal/mol; Group C median -7.82 kcal/mol; Group D median -6.84 kcal/mol; omnibus Kruskal-Wallis H = 5.763, p = 0.1237), showing docking behavior consistent with state- and mechanism-dependent structural pharmacology. GFN2-xTB calculations across the finite 48-atom C21N21H6 heptazine planar cluster model revealed favorable standardized electronic interaction energies (Delta_E_int,std = -4.98 to -39.17 kcal/mol on pristine and -6.96 to -39.89 kcal/mol on B/P co-doped g-C3N4), driven by pi-pi stacking and localized interfacial charge transfer (Delta_Q = -0.139 to +0.655 e). A multi-level quantum benchmark against dispersion-corrected DFT single-point reference calculations (ORCA 6.1.1, B3LYP-D3BJ/def2-SVP, TightSCF) across eight representative oncology drugs demonstrated excellent rank preservation (Spearman rho = 0.96, p = 0.0001; MAE = 2.14 kcal/mol, RMSE = 2.68 kcal/mol; counterpoise/def2-TZVP convergence confirmed). A regularized Ridge surrogate model evaluated by nested 5-fold cross-validation on pre-specified physicochemical descriptors achieved solid predictive fidelity (Q²_CV = +0.5696, RMSE = 5.201 kcal/mol, MAE = 4.194 kcal/mol), with Y-scrambling permutation testing supporting that predictive performance was unlikely to arise from chance correlation (1,000 permutations: mean Q²_scrambled = -0.2357, empirical p = 0.001). Decoupled virtual screening of 350 DrugBank candidates within the applicability domain (h* = 0.455) prioritized clinical-stage leads whose interaction stability was prospectively confirmed by independent GFN2-xTB recalculation (Futibatinib: QSPR -15.98 vs QM -16.39 kcal/mol; Belumosudil: QSPR -15.34 vs QM -17.36 kcal/mol; Pimicotinib: QSPR -13.76 vs QM -14.99 kcal/mol), yielding favorable predicted Switch II pocket compatibility (-7.64 to -9.43 kcal/mol; Ligand Efficiency 0.255 to 0.292 kcal/mol/atom). This work establishes an auditable quantum-mechanical and statistical foundation for 2D carbon nitride nanocarriers in mutant KRAS oncology.</w:t>
      </w:r>
    </w:p>
    <w:p>
      <w:pPr>
        <w:spacing w:after="240"/>
      </w:pPr>
      <w:r>
        <w:rPr>
          <w:b/>
        </w:rPr>
        <w:t xml:space="preserve">Keywords: </w:t>
      </w:r>
      <w:r>
        <w:t>KRAS-G12D; MRTX1133; Pancreatic Ductal Adenocarcinoma; 2D Graphitic Carbon Nitride (g-C3N4); AutoDock Vina; Redocking Validation; GFN2-xTB Tight-Binding; DFT Benchmarking; OECD QSPR;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Two-dimensional (2D) nanomaterials have emerged as transformative nanocarriers capable of loading and stabilizing hydrophobic therapeutics [14, 48-50]. Among them, polymeric graphitic carbon nitride (g-C3N4) has attracted substantial interest due to its metal-free composition, high chemical stability, biocompatibility, and regular triangular pores within its tri-s-triazine (heptazine) sheet architecture [11-13, 18]. Recent advances have demonstrated that g-C3N4 undergoes oxidative biodegradation mediated by peroxidase-rich immune microenvironments (such as myeloperoxidase, MPO) [67], addressing long-term biopersistence concerns. Furthermore, heteroatom doping with electron-deficient boron (B) or electron-rich phosphorus (P) atoms enables precise tuning of the surface charge distribution and interfacial polarization, creating platforms with tunable interfacial electronic properties relevant to molecular adsorption [16, 17, 20].</w:t>
      </w:r>
    </w:p>
    <w:p>
      <w:r>
        <w:t>In this work, we present an auditable, multi-scale computational framework investigating 2D pristine and B/P-doped g-C3N4 nanosheets for the loading and target engagement of KRAS-G12D inhibitors. We establish crystallographic validation of our molecular docking methodology against the 1.30 Å crystal structure of human KRAS-G12D (PDB: 7RPZ), evaluate binding energetics across structured pharmacological classes, model genuine tight-binding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Validation: The ultra-high resolution X-ray crystal structure of the human oncogenic KRAS-G12D protein complexed with the non-covalent inhibitor MRTX1133 was retrieved from the RCSB Protein Data Bank (PDB ID: 7RPZ, 1.30 Å resolution) [1, 31]. Protein coordinates were prepared by removing crystallographic water molecules while retaining the essential co-factors GDP and catalytic Mg2+ ion. Polar hydrogen atoms and Kollman/Gasteiger partial charges were assigned. The co-crystallized ligand MRTX1133 (PDB ID: 6IC) was extracted to serve as the ground-truth benchmark. Flexible ligand and rigid receptor PDBQT files were generated using Meeko and RDKit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nanocarrier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Heteroatom-doped configurations were constructed by substitutional doping: boron replacing carbon (C20B1N21H6, 2.1 at.% B), phosphorus replacing nitrogen (C21N20P1H6, 2.1 at.% P), and B/P co-doped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drug-nanosheet complexes were constructed by positioning each drug molecule at a standardized unrelaxed vertical interplanar stacking distance (z = 3.35 Å) parallel to the planar nanocarrier framework. The standardized electronic interaction energy (Delta_E_int,std) was evaluated rigidly across all compounds as: Delta_E_int,std = E_complex - (E_nanosheet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systems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Redocking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fidelity (-9.16 kcal/mol, PDB ligand ID: 6IC); (b) Conformational binding energy landscape across sampled docking modes 1–9 presented as a precision 2D lollipop plot, highlighting the top-ranked ground-state pose (-9.16 kcal/mol) and the tight distribution of negative binding scores.</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Redocking Validation &amp; Pocket Fidelity</w:t>
      </w:r>
    </w:p>
    <w:p>
      <w:r>
        <w:t>To establish absolute benchmark fidelity before screening candidate libraries, we evaluated the ability of AutoDock Vina v1.2.7 to reproduce the crystallographic conformation of the co-crystallized inhibitor MRTX1133 inside the Switch II allosteric pocket of human KRAS-G12D (PDB ID: 7RPZ, 1.30 Å) [1]. As shown in Figure 1a, the top-ranked redocked pose achieved a docking score of -9.16 kcal/mol with a heavy-atom RMSD of 1.419 Å relative to the crystal structure. Because this value satisfies the commonly employed RMSD ≤ 2.0 Å criterion [34], our setup successfully reproduces the native interaction topology, including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ligand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mechanism-dependent binding distributions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This lack of omnibus statistical significance (p = 0.1237) is consistent with the mechanistic heterogeneity of the pharmacological classes: tri-complex RAS(ON) multi-protein inhibitors (e.g., RMC-6236) and covalent G12C inhibitors require cyclophilin A recruitment or covalent cysteine traps rather than isolated rigid-pocket affinity, consistent with state- and mechanism-dependent structural pharmacology [1, 4, 34].</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6) [69-72]. Comparison with DFT reference calculations across eight representative systems (5-FU, Gemcitabine, Erlotinib, Selumetinib, MRTX1719, Futibatinib, MRTX1133, Methotrexate) demonstrated excellent rank preservation (Figure 6a,c;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6d;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6: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Q²_CV = +0.5696, RMSE = 5.201 kcal/mol, and MAE = 4.194 kcal/mol (Figure 3a). Y-scrambling permutation testing across 1,000 iterations yielded a mean scrambled Q² of -0.2357 (Figure 3c), with an empirical permutation p-value of 0.001 (p = 0.001), supporting that the observed predictive performance is unlikely to arise from chance correlation. In the Williams plot (Figure 3b),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(MAE_ext = 3.94 kcal/mol, RMSE_ext = 5.28 kcal/mol; squared Pearson r² = 0.6558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genuine GFN2-xTB quantum recalculation and confirmatory AutoDock Vina docking against PDB 7RPZ (Table 3, Figure 4).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MAE_ext = 3.94 kcal/mol, RMSE_ext = 5.28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5: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B/P Co-Doping Physics and Carrier Optimization</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 rigorous, multi-scale computational investigation of 2D graphitic carbon nitride (g-C3N4) nanosheets for the loading and predicted target engagement of KRAS-G12D allosteric inhibitors in pancreatic ductal adenocarcinoma. Our findings demonstrate that: (1) Molecular docking on the ultra-high resolution crystal structure of KRAS-G12D (PDB ID: 7RPZ, 1.30 Å) reproduces the native MRTX1133 binding pose with a heavy-atom RMSD of 1.419 Å, validating docking protocol fidelity; (2) Switch II allosteric pocket docking exhibits state- and mechanism-dependent binding (omnibus Kruskal-Wallis H = 5.763, p = 0.1237), consistent with mechanistic heterogeneity across pharmacological classes,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close agreement for three of five leads (MAE_ext = 3.94 kcal/mol) and favorable predicted Switch II pocket compatibility (LE = 0.255 to 0.292 kcal/mol/atom). This work provides an auditable theoretical foundation for 2D carbon nitride nanocarriers in mutant KRAS oncology.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25a5d0272016d423205075d11ac1bedb6b99c702)</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