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Andrés Monreal Hernández, Ph.D.</w:t>
        <w:br/>
        <w:t>Universidad Estatal de Sonora, Hermosillo, Sonora, Mexico</w:t>
        <w:br/>
        <w:t>Email: andres.monreal@ues.mx | ORCID: 0009-0009-1207-8597</w:t>
      </w:r>
    </w:p>
    <w:p>
      <w:r>
        <w:t>To: The Editor-in-Chief, Journal of Molecular Modeling (Springer Nature)</w:t>
      </w:r>
    </w:p>
    <w:p>
      <w:r>
        <w:rPr>
          <w:b/>
        </w:rPr>
        <w:t>Subject: Submission of Original Research Article for Peer Review</w:t>
      </w:r>
    </w:p>
    <w:p>
      <w:r>
        <w:t>Dear Editor,</w:t>
      </w:r>
    </w:p>
    <w:p>
      <w:r>
        <w:t>On behalf of my co-authors (Sara Lizbeth Franco Amaya, Carlos Ivanhoe Martínez Osorio, and myself), I am pleased to submit our original research manuscript for consideration as a Full Research Article in the Journal of Molecular Modeling:</w:t>
      </w:r>
    </w:p>
    <w:p>
      <w:r>
        <w:rPr>
          <w:b/>
          <w:color w:val="00695C"/>
        </w:rPr>
        <w:t>“Quantum-Validated QSPR and Molecular Screening of KRAS-G12D Inhibitors across Graphitic Carbon Nitride Interaction Space”</w:t>
      </w:r>
    </w:p>
    <w:p>
      <w:r>
        <w:t>The study integrates GFN2-xTB quantum-chemical interaction modeling of pristine and B/P-doped 2D graphitic carbon nitride (g-C3N4), AutoDock Vina docking against the human KRAS-G12D crystal structure (PDB ID: 7RPZ, 1.30 Å), and a leak-free nested cross-validated QSPR surrogate model, for a curated set of 33 KRAS-G12D allosteric inhibitors and PDAC therapeutics -- squarely within the journal's scope in computational and theoretical chemistry.</w:t>
      </w:r>
    </w:p>
    <w:p>
      <w:r>
        <w:rPr>
          <w:b/>
        </w:rPr>
        <w:t>Real, pipeline-traceable results:</w:t>
      </w:r>
    </w:p>
    <w:p>
      <w:pPr>
        <w:ind w:left="432"/>
      </w:pPr>
      <w:r>
        <w:t>Redocking on the human KRAS-G12D crystal structure (PDB ID: 7RPZ, 1.30 Å) reproduced the native MRTX1133 pose at 1.419 Å heavy-atom RMSD (AutoDock Vina v1.2.7).</w:t>
      </w:r>
    </w:p>
    <w:p>
      <w:pPr>
        <w:ind w:left="432"/>
      </w:pPr>
      <w:r>
        <w:t>GFN2-xTB single-point interaction energies for all 33 drugs on pristine and B/P-doped g-C3N4 clusters span Delta_E_ads = -5.0 to -39.9 kcal/mol, computed directly from the xtb output.</w:t>
      </w:r>
    </w:p>
    <w:p>
      <w:pPr>
        <w:ind w:left="432"/>
      </w:pPr>
      <w:r>
        <w:t>Leak-free nested 5x5 cross-validated RidgeCV surrogate on the real GFN2-xTB adsorption energies: Q2_CV = +0.584 (1000 Y-scrambling permutations, empirical p = 0.001), a genuinely predictive (not merely descriptive) surrogate.</w:t>
      </w:r>
    </w:p>
    <w:p>
      <w:pPr>
        <w:ind w:left="432"/>
      </w:pPr>
      <w:r>
        <w:t>OECD Principle 3 applicability domain by Williams leverage (h* = 0.455); prospective virtual screening of 350 DrugBank oncology compounds with quantum-confirmed top hits (Futibatinib, Belumosudil).</w:t>
      </w:r>
    </w:p>
    <w:p>
      <w:pPr>
        <w:ind w:left="432"/>
      </w:pPr>
      <w:r>
        <w:t>Full open-source pipeline and data archive (Zenodo DOI 10.5281/zenodo.22187819), reproducing every value and figure in the manuscript.</w:t>
      </w:r>
    </w:p>
    <w:p>
      <w:r>
        <w:t>The manuscript is original, not under consideration elsewhere, and all authors approve the submission and declare no competing interests.</w:t>
      </w:r>
    </w:p>
    <w:p>
      <w:r>
        <w:t>Sincerely,</w:t>
        <w:br/>
        <w:t>Andrés Monreal Hernández, Ph.D. (Corresponding Author)</w:t>
        <w:br/>
        <w:t>Universidad Estatal de Sonora, Mexico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2121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