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+0.19 e for MRTX1133)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-39.89 kcal/mol across pristine and B/P substituted templates at a standardized initial stacking separation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regularized Ridge surrogate QSPR model structured under OECD Principles 1-5, evaluated by a fully leak-free nested 5x5 cross-validation (StandardScaler fit inside the pipeline on outer-training folds only; Ridge alpha tuned by inner cross-validation), achieved robust out-of-fold predictive accuracy (nested Q²_CV = +0.584, per-fold Q² range: 0.05-0.78; RMSE = 5.11 kcal/mol, MAE = 4.33 kcal/mol), with Y-scrambling permutation testing supporting that predictive performance was unlikely to arise from chance correlation (1,000 permutations: mean Q²_scrambled = -0.12, empirical p = 0.001). Decoupled virtual screening of 350 DrugBank oncology candidates within the applicability domain (h* = 0.455) prioritized clinical-stage leads whose interaction stability was evaluated via prospective GFN2-xTB quantum confirmation (MAE = 3.82 kcal/mol, RMSE = 5.16 kcal/mol; Futibatinib: error +0.37 kcal/mol; Belumosudil: error +1.93 kcal/mol; Pimicotinib: error +1.11 kcal/mol; Avapritinib: -6.27 kcal/mol; Capivasertib: +9.42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420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420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3D structural superposition of crystallographic (emerald green sticks) and top-ranked redocked (ruby orange sticks) MRTX1133 poses inside the Switch II allosteric pocket of KRAS-G12D (PDB ID: 7RPZ, 1.30 Å resolution), demonstrating 1.419 Å heavy-atom RMSD pose recovery (-9.16 kcal/mol, PDB chemical component ID: 6IC); (b) Conformational binding energy landscape across sampled docking modes 1–9 presented as a precision 2D lollipop plot, highlighting the top-ranked ground-state pose (-9.16 kcal/mol) and the tight distribution of negative binding scores.</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448779"/>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448779"/>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2,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878132"/>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878132"/>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5: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planar cluster model (C21N21H6, 48 atoms) with MRTX1133 in standardized parallel stacking at z = 3.35 Angstroms (Delta_E_int,std = -35.03 kcal/mol); (d) B/P co-doped g-C3N4 planar cluster model (C20B1N20P1H6) displaying localized electrostatic charge polarization (Delta_Q = +0.19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+0.19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+0.19 e for MRTX1133)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940cba4)</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