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+0.19 e for MRTX1133)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-39.89 kcal/mol across pristine and B/P substituted templates at a standardized initial stacking separation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regularized Ridge surrogate QSPR model structured under OECD Principles 1-5, evaluated by a fully leak-free nested 5x5 cross-validation (StandardScaler fit inside the pipeline on outer-training folds only; Ridge alpha tuned by inner cross-validation), achieved robust out-of-fold predictive accuracy (nested Q²_CV = +0.584, per-fold Q² range: 0.05-0.78; RMSE = 5.11 kcal/mol, MAE = 4.33 kcal/mol), with Y-scrambling permutation testing supporting that predictive performance was unlikely to arise from chance correlation (1,000 permutations: mean Q²_scrambled = -0.12, empirical p = 0.001). Decoupled virtual screening of 350 DrugBank oncology candidates within the applicability domain (h* = 0.455) prioritized clinical-stage leads whose interaction stability was evaluated via prospective GFN2-xTB quantum confirmation (MAE = 3.82 kcal/mol, RMSE = 5.16 kcal/mol; Futibatinib: error +0.37 kcal/mol; Belumosudil: error +1.93 kcal/mol; Pimicotinib: error +1.11 kcal/mol; Avapritinib: -6.27 kcal/mol; Capivasertib: +9.42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7968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7968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redocking validation summary - the top-ranked redocked pose of the co-crystallized ligand MRTX1133 (PDB chemical component ID: 6IC) recovers the crystallographic pose with a 1.419 Å heavy-atom RMSD, within the commonly used &lt;= 2.0 Å criterion; (b) the AutoDock Vina output modes for this redocking run (the search returned four distinct modes spanning -9.16 to -7.80 kcal/mol; the top mode, in orange, is -9.16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448779"/>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448779"/>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2,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878132"/>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878132"/>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1768941"/>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1768941"/>
                    </a:xfrm>
                    <a:prstGeom prst="rect"/>
                  </pic:spPr>
                </pic:pic>
              </a:graphicData>
            </a:graphic>
          </wp:inline>
        </w:drawing>
      </w:r>
    </w:p>
    <w:p>
      <w:pPr>
        <w:spacing w:after="200" w:line="276" w:lineRule="auto"/>
      </w:pPr>
      <w:r>
        <w:rPr>
          <w:b/>
          <w:color w:val="004D40"/>
          <w:sz w:val="18"/>
        </w:rPr>
        <w:t xml:space="preserve">Figure 5: </w:t>
      </w:r>
      <w:r>
        <w:rPr>
          <w:i/>
          <w:sz w:val="18"/>
        </w:rPr>
        <w:t xml:space="preserve"> Multi-scale structural context and real GFN2-xTB interfacial energetics (schematic cards; the reported values are GFN2-xTB output, not a rendered structure): (a) MRTX1133 in the KRAS-G12D Switch II allosteric cleft (PDB ID: 7RPZ, 1.30 Å), with the ionic salt-bridge to mutant Asp12 (OD2 = 2.70 Å from the crystallographic coordinates); (b) pristine finite planar g-C3N4 cluster (C21N21H6, 48 atoms), MRTX1133 in standardized parallel stacking (initial separation z = 3.35 Å), real Delta_E_ads = -35.03 kcal/mol and interfacial charge transfer Delta_Q = +0.19 e; (c) B/P co-doped cluster (C20B1N20P1H6), real Delta_E_ads = -35.04 kcal/mol, Delta_Q = +0.15 e, GFN2-xTB dopant partial charges q(B) = +0.36 e and q(P) = -0.20 e.</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5a),underscoring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+0.19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+0.19 e for MRTX1133)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940cba4)</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