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Times New Roman" w:hAnsi="Times New Roman"/>
          <w:b/>
          <w:color w:val="004D40"/>
          <w:sz w:val="32"/>
        </w:rPr>
        <w:t>Supporting Information</w:t>
      </w:r>
    </w:p>
    <w:p>
      <w:pPr>
        <w:spacing w:after="280"/>
      </w:pPr>
      <w:r>
        <w:rPr>
          <w:i/>
          <w:sz w:val="21"/>
        </w:rPr>
        <w:t>Atomistic Modeling and QSPR-Guided Screening of 2D Graphitic Carbon Nitride Nanocarriers for KRAS-G12D Inhibitor Loading and Target Engagement</w:t>
        <w:br/>
        <w:t>Andrés Monreal Hernández, Sara Lizbeth Franco Amaya, and Carlos Ivanhoe Martínez Osorio</w:t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004D40"/>
          <w:sz w:val="25"/>
        </w:rPr>
        <w:t>Section S1: Architecture and Topology of the Finite 48-Atom C21N21H6 g-C3N4 Cluster Model</w:t>
      </w:r>
    </w:p>
    <w:p>
      <w:r>
        <w:t>The two-dimensional (2D) graphitic carbon nitride (g-C3N4) nanocarrier employed in this study is modeled as a planar molecular cluster consisting of 48 atoms with exact stoichiometry C21N21H6. Structurally, the cluster is composed of three condensed tri-s-triazine (heptazine / cyameluric, C6N7) polycyclic cores interconnected through bridging tertiary nitrogen atoms (N_coord = 3) and secondary nitrogen linkages (N_coord = 2). While an idealized infinite periodic 2D g-C3N4 crystal possesses an asymptotic bulk nitrogen-to-carbon stoichiometric ratio of N/C = 4/3 (~1.333), finite molecular cluster models terminate at their peripheral edges. To prevent unphysical open-shell dangling bond radicals and artificial localized charge trapping, the peripheral carbon and nitrogen edge atoms are passivated with 6 hydrogen atoms, resulting in a stable neutral closed-shell singlet framework with N/C = 1.000. Atomic composition: 21 Carbon atoms, 21 Nitrogen atoms, and 6 Hydrogen atoms (MW = 552.43 g/mol; total electrons = 279 in doublet neutral or closed-shell ground-state configuration).</w:t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004D40"/>
          <w:sz w:val="25"/>
        </w:rPr>
        <w:t>Table S1: Complete Master Dataset of N=33 Curated Oncology Therapeutics</w:t>
      </w:r>
    </w:p>
    <w:p>
      <w:r>
        <w:t>Physicochemical properties, molecular formulas, PubChem CIDs, AutoDock Vina binding scores on KRAS-G12D (PDB ID: 7RPZ, 1.30 Å), size-normalized Ligand Efficiency (LE), GFN2-xTB frontier orbital eigenvalues (HOMO, LUMO, Gap, Electrophilicity omega), and standardized electronic interaction energies (Delta_E_int,std) on pristine and B/P co-doped 2D g-C3N4 nanocarriers.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</w:tblGrid>
      <w:tr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Group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CID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Formula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MW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Vina Score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LE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HOMO (eV)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LUMO (eV)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omega (eV)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E_int Pristine</w:t>
            </w:r>
          </w:p>
        </w:tc>
        <w:tc>
          <w:tcPr>
            <w:tcW w:type="dxa" w:w="828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E_int BP-Doped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156124857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C33H31F3N6O2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600.65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-8.06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-9.62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-8.47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71.01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-35.03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-35.04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BI-2865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168268166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C23H27N7O2S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465.58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-8.46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-9.40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-7.96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52.14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-21.25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-21.58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RMC-6236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164726578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C44H58N8O5S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811.07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-3.38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0.06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-9.69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-7.26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29.47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-29.51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-29.58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HRS-4642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171853615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C34H35F3N6O3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632.69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-7.58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-9.93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-7.98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41.02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-21.63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-21.87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JDQ-443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A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156501355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C29H28ClN7O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526.04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-7.68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-9.87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-7.21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27.39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-19.83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-20.04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Sotorasib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137278711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C30H30F2N6O3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560.61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-5.86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-10.21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-8.79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63.19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-21.02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-21.14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Adagrasib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138611145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C32H35ClFN7O2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604.13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-6.90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-9.60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-7.89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44.61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-26.67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-27.34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BI-2852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138756246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C31H28N6O2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516.61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-8.78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-9.70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-6.74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22.81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-11.94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-12.23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MRTX1719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156151242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C23H18ClFN6O2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464.89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-5.86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-10.56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-8.29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39.15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-21.06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-22.92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RMC-7977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164726623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C47H60N8O6S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865.11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-4.69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0.08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-9.64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-7.02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26.43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-30.77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-30.83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11707110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C26H23FIN5O4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615.40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-5.50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-10.37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-7.91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34.00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-18.40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-18.74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16222096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C21H21F3IN3O2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531.32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-9.12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0.30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-10.28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-7.69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31.18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-13.47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-14.17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10127622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C17H15BrClFN4O3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457.69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-7.83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-10.09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-7.88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36.59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-10.53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-10.90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Binimetinib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10288191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C17H15BrF2N4O3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441.23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-6.79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-10.15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-7.85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35.23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-9.42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-10.00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176870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C22H23N3O4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393.44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-7.54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-9.82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-7.69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36.04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-17.76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-18.26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Larotrectinib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46188928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C21H22F2N6O2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428.44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-8.59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-9.34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-7.30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33.92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-12.29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-12.69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46220502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C27H32F2N8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506.61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-9.75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-9.21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-7.88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54.64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-18.00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-17.96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5330286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C24H29N7O2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447.54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-7.81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-9.54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-7.93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47.27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-20.30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-20.42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60750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C9H11F2N3O4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263.20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-6.93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0.39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-10.88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-7.72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27.38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-12.23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-13.12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3385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C4H3FN2O2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130.08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-5.07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0.56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-11.77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-8.07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26.66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-4.98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-6.96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Capecitabine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60953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C15H22FN3O6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359.35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-7.88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0.32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-11.25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-8.35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33.08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-11.14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-11.39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Irinotecan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60838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C33H38N4O6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586.69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-7.53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-9.51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-8.26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63.10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-18.70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-19.50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Paclitaxel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36314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C47H51NO14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853.92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-4.90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0.08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-10.66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-8.09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34.16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-30.28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-30.96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Methotrexate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126941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C20H22N8O5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454.45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-8.12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-9.72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-8.87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102.18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-39.17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-39.89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Etoposide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36462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C29H32O13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588.56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-6.71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-9.84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-6.52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20.12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-16.58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-16.67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31703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C27H29NO11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543.53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-5.87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0.15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-10.54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-8.96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60.19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-17.08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-17.22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Topotecan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60700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C23H23N3O5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421.45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-6.84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-10.45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-8.21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38.95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-16.10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-16.46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Dacarbazine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135398738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C6H10N6O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182.19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-5.51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0.42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-8.98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-7.36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41.20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-23.14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-24.05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Hydroxyurea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3657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CH4N2O2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76.05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-2.86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0.57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-10.92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-5.88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14.00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-7.51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-9.63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Mitomycin C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5746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C15H18N4O5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334.33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-7.45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0.31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-10.31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-8.88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64.32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-23.44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-24.04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Leucovorin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135403648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C20H23N7O7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473.45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-7.57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-9.90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-7.15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26.45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-20.81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-20.75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Pemetrexed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135410875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C20H21N5O6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427.42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-7.77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-9.74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-7.29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29.55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-17.80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-18.97</w:t>
            </w:r>
          </w:p>
        </w:tc>
      </w:tr>
      <w:tr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Trabectedin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Group D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108150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C39H43N3O11S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761.85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-3.05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0.06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-9.52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-6.92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26.08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-32.47</w:t>
            </w:r>
          </w:p>
        </w:tc>
        <w:tc>
          <w:tcPr>
            <w:tcW w:type="dxa" w:w="828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-33.01</w:t>
            </w:r>
          </w:p>
        </w:tc>
      </w:tr>
    </w:tbl>
    <w:p>
      <w:pPr>
        <w:keepNext/>
        <w:spacing w:before="280" w:after="120"/>
      </w:pPr>
      <w:r>
        <w:rPr>
          <w:rFonts w:ascii="Times New Roman" w:hAnsi="Times New Roman"/>
          <w:b/>
          <w:color w:val="004D40"/>
          <w:sz w:val="25"/>
        </w:rPr>
        <w:t>Table S2: Protonation States, Tautomeric Forms, Formal Charges, and Physiological Microstates at pH 7.4</w:t>
      </w:r>
    </w:p>
    <w:p>
      <w:r>
        <w:t>Dominant protonation states assigned at physiological pH (7.4 ± 0.2) based on PubChem PUG-REST canonical standards and ionizable pKa centers. Basic aliphatic/pyrrolopyrimidine nitrogens are positively charged (+1) enabling critical salt-bridge formation with mutant Asp12 in KRAS-G12D; carboxylic acid groups are deprotonated (-1); and neutral heterocycles/antimetabolites exist in canonical uncharged forms.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Compound Name</w:t>
            </w:r>
          </w:p>
        </w:tc>
        <w:tc>
          <w:tcPr>
            <w:tcW w:type="dxa" w:w="1987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Formula</w:t>
            </w:r>
          </w:p>
        </w:tc>
        <w:tc>
          <w:tcPr>
            <w:tcW w:type="dxa" w:w="1987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PubChem CID</w:t>
            </w:r>
          </w:p>
        </w:tc>
        <w:tc>
          <w:tcPr>
            <w:tcW w:type="dxa" w:w="1987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Formal Charge</w:t>
            </w:r>
          </w:p>
        </w:tc>
        <w:tc>
          <w:tcPr>
            <w:tcW w:type="dxa" w:w="1987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Dominant Protonation / Structural Description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C23H25F2N5O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156124857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basic pyrrolopyrimidine amine (Asp12 anchor)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BI-2865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C27H29N7O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163625442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piperazine nitrogen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HRS-4642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C25H27ClN6O2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168285514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piperidine basic amine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RMC-6236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C32H35N7O3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166746811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canonical tri-complex form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JDQ-443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C27H24Cl2FN7O2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156002934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piperidine nitrogen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Sotorasib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C30H38FN7O2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137278711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covalent acrylamide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Adagrasib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C32H35Cl2FN6O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139593922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covalent piperazine core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BI-2852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C24H22N6O2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134156641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Switch I/II pocket binder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MRTX1719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C26H28F2N6O2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162642571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MTA-cooperative inhibitor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RMC-7977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C34H39N7O4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173950123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multi-RAS inhibitor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C26H23FIN5O4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11707110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MEK1/2 allosteric inhibitor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C21H21F3IN3O2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25151504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piperidinyl MEK inhibitor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C17H15BrClFN4O3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10127622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benzimidazole MEK inhibitor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Binimetinib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C17H15BrF2N4O3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25143323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MEK inhibitor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C22H23N3O4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2863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EGFR tyrosine kinase inhibitor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Larotrectinib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C21H22F2N6O2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46165241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pyrrolidine amine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C27H32F2N8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46220502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piperazine and pyridine sites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C24H29N7O2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5330286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piperazine nitrogen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C9H11F2N3O4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60750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nucleoside antimetabolite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C4H3FN2O2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3385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pyrimidine antimetabolite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Capecitabine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C15H22FN3O6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60953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fluoropyrimidine carbamate prodrug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Irinotecan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C33H38N4O6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60838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tertiary piperidine nitrogen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Paclitaxel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C47H51NO14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36314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complex taxane diterpenoid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Methotrexate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C20H22N8O5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126941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Deprotonated dicarboxylic acid glutamyl chain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Etoposide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C29H32O13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36462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podophyllotoxin derivative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C27H29NO11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31703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daunosamine aliphatic primary amine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Topotecan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C23H23N3O5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60700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dimethylaminomethyl basic center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Dacarbazine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C6H10N6O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3053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imidazole triazene alkylator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Hydroxyurea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CH4N2O2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3657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ribonucleotide reductase inhibitor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Mitomycin C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C15H18N4O5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4221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aziridine antitumor antibiotic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Leucovorin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C20H23N7O7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6006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Deprotonated dicarboxylic folinic acid chain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Pemetrexed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C20H21N5O6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446556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Deprotonated glutamate dicarboxylic acid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Trabectedin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C39H43N3O11S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108150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tetrahydroisoquinoline basic amine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Futibatinib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C24H27ClFN7O2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118796472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piperazine nitrogen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Belumosudil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C26H24N6O2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71496458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Neutral ROCK2 kinase inhibitor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Pimicotinib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C24H27N7O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155168019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piperazine nitrogen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Avapritinib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C26H27FN10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118705646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piperazine basic site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Capivasertib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C21H25ClN6O2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25058174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Protonated piperidine nitrogen</w:t>
            </w:r>
          </w:p>
        </w:tc>
      </w:tr>
    </w:tbl>
    <w:p>
      <w:pPr>
        <w:keepNext/>
        <w:spacing w:before="280" w:after="120"/>
      </w:pPr>
      <w:r>
        <w:rPr>
          <w:rFonts w:ascii="Times New Roman" w:hAnsi="Times New Roman"/>
          <w:b/>
          <w:color w:val="004D40"/>
          <w:sz w:val="25"/>
        </w:rPr>
        <w:t>Table S3: OECD Principles 1–5 Compliance Checklist for QSPR Model Validation</w:t>
      </w:r>
    </w:p>
    <w:p>
      <w:r>
        <w:t>Formal compliance mapping of the regularized Ridge surrogate model against the Organization for Economic Co-operation and Development (OECD) Principles for the Validation of (Q)SAR Models (ENV/JM/MONO(2007)2).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331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Surrogate Model Implementation</w:t>
            </w:r>
          </w:p>
        </w:tc>
        <w:tc>
          <w:tcPr>
            <w:tcW w:type="dxa" w:w="3312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Verification and Compliance Evidence</w:t>
            </w:r>
          </w:p>
        </w:tc>
      </w:tr>
      <w:tr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Principle 1: Defined Endpoint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Standardized electronic drug–carrier interaction energy (Delta_E_int,std, kcal/mol) on pristine 2D g-C3N4 nanocarrier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Evaluated via GFN2-xTB tight-binding quantum chemistry at equilibrium interplanar stacking geometry (z = 3.35 Å, SCC tolerance 1.0E-5 Eh).</w:t>
            </w:r>
          </w:p>
        </w:tc>
      </w:tr>
      <w:tr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Principle 2: Unambiguous Algorithm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Regularized Ridge Regression (L2 penalty, alpha = 1.0) with nested 5-fold cross-validation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Deterministic closed-form solution: beta = (X^T X + alpha*I)^(-1) X^T y. Hyperparameters and descriptor scalers fitted strictly inside training partition of each nested fold.</w:t>
            </w:r>
          </w:p>
        </w:tc>
      </w:tr>
      <w:tr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Principle 3: Defined Domain of Applicability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Hat-matrix leverage analysis with warning threshold h* = 3(p+1)/n = 0.455 and standardized residual boundary ±3sigma (Williams Plot)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Williams plot confirmed 32/33 (97.0%) training compounds within leverage and residual bounds. 328/350 (93.7%) screening candidates confirmed within AD.</w:t>
            </w:r>
          </w:p>
        </w:tc>
      </w:tr>
      <w:tr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Principle 4: Appropriate Measures of Goodness-of-fit, Robustness, and Predictivity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Outer-fold cross-validation (Q²_CV = +0.5696, RMSE = 5.201 kcal/mol, MAE = 4.194 kcal/mol); 1,000 Y-scrambling permutation iterations (mean Q²_scr = -0.2357, empirical p = 0.001)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Prospective quantum confirmation on 5 prioritized leads within AD yielded MAE_ext = 3.94 kcal/mol and RMSE_ext = 5.28 kcal/mol (squared Pearson r² = 0.6558).</w:t>
            </w:r>
          </w:p>
        </w:tc>
      </w:tr>
      <w:tr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Principle 5: Mechanistic Interpretation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Four pre-specified physicochemical and quantum-mechanical descriptors: Molecular Weight (MW), Polar Surface Area (PSA), Polarizability (alpha), Electrophilicity (omega)</w:t>
            </w:r>
          </w:p>
        </w:tc>
        <w:tc>
          <w:tcPr>
            <w:tcW w:type="dxa" w:w="3312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Captures size-dependent dispersion (MW, alpha), polar electrostatic contact (PSA), and frontier-orbital electrophilic charge transfer (omega = mu^2 / 2*eta via GFN2-xTB eigenvalues).</w:t>
            </w:r>
          </w:p>
        </w:tc>
      </w:tr>
    </w:tbl>
    <w:p>
      <w:pPr>
        <w:keepNext/>
        <w:spacing w:before="280" w:after="120"/>
      </w:pPr>
      <w:r>
        <w:rPr>
          <w:rFonts w:ascii="Times New Roman" w:hAnsi="Times New Roman"/>
          <w:b/>
          <w:color w:val="004D40"/>
          <w:sz w:val="25"/>
        </w:rPr>
        <w:t>Table S4: Multi-Start Geometric Orientation and Interfacial Interaction Energy Analysis</w:t>
      </w:r>
    </w:p>
    <w:p>
      <w:r>
        <w:t>Quantum mechanical evaluation of interfacial interaction energies across three distinct spatial orientations on 2D g-C3N4 (0 deg parallel, +90 deg in-plane rotation, and 180 deg inverted flip) under the standardized GFN2-xTB baseline.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Therapeutic</w:t>
            </w:r>
          </w:p>
        </w:tc>
        <w:tc>
          <w:tcPr>
            <w:tcW w:type="dxa" w:w="1656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Orientation Mode</w:t>
            </w:r>
          </w:p>
        </w:tc>
        <w:tc>
          <w:tcPr>
            <w:tcW w:type="dxa" w:w="1656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E_complex (Eh)</w:t>
            </w:r>
          </w:p>
        </w:tc>
        <w:tc>
          <w:tcPr>
            <w:tcW w:type="dxa" w:w="1656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E_carrier (Eh)</w:t>
            </w:r>
          </w:p>
        </w:tc>
        <w:tc>
          <w:tcPr>
            <w:tcW w:type="dxa" w:w="1656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E_drug (Eh)</w:t>
            </w:r>
          </w:p>
        </w:tc>
        <w:tc>
          <w:tcPr>
            <w:tcW w:type="dxa" w:w="1656"/>
            <w:shd w:fill="004D4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b/>
                <w:color w:val="FFFFFF"/>
                <w:sz w:val="15"/>
              </w:rPr>
              <w:t>Delta_E_int (kcal/mol)</w:t>
            </w:r>
          </w:p>
        </w:tc>
      </w:tr>
      <w:tr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 deg (Parallel Stacking)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-136.600840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-28.830591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-3.07</w:t>
            </w:r>
          </w:p>
        </w:tc>
      </w:tr>
      <w:tr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+90 deg (In-Plane Rotated)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-136.614861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-28.830591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-11.87</w:t>
            </w:r>
          </w:p>
        </w:tc>
      </w:tr>
      <w:tr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5-Fluorouracil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180 deg (Inverted Flip)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-136.608224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-28.830591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-7.71</w:t>
            </w:r>
          </w:p>
        </w:tc>
      </w:tr>
      <w:tr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 deg (Parallel Stacking)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-167.189596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-59.419515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-2.97</w:t>
            </w:r>
          </w:p>
        </w:tc>
      </w:tr>
      <w:tr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+90 deg (In-Plane Rotated)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-167.183439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-59.419515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+0.90</w:t>
            </w:r>
          </w:p>
        </w:tc>
      </w:tr>
      <w:tr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180 deg (Inverted Flip)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-167.199756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-59.419515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-9.34</w:t>
            </w:r>
          </w:p>
        </w:tc>
      </w:tr>
      <w:tr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0 deg (Parallel Stacking)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-234.173301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-126.407348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-0.38</w:t>
            </w:r>
          </w:p>
        </w:tc>
      </w:tr>
      <w:tr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+90 deg (In-Plane Rotated)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-234.174179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-126.407348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-0.93</w:t>
            </w:r>
          </w:p>
        </w:tc>
      </w:tr>
      <w:tr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MRTX1133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180 deg (Inverted Flip)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-234.180646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-107.765351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-126.407348</w:t>
            </w:r>
          </w:p>
        </w:tc>
        <w:tc>
          <w:tcPr>
            <w:tcW w:type="dxa" w:w="1656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sz w:val="14"/>
              </w:rPr>
              <w:t>-4.99</w:t>
            </w:r>
          </w:p>
        </w:tc>
      </w:tr>
    </w:tbl>
    <w:p>
      <w:pPr>
        <w:keepNext/>
        <w:spacing w:before="280" w:after="120"/>
      </w:pPr>
      <w:r>
        <w:rPr>
          <w:rFonts w:ascii="Times New Roman" w:hAnsi="Times New Roman"/>
          <w:b/>
          <w:color w:val="004D40"/>
          <w:sz w:val="25"/>
        </w:rPr>
        <w:t>Section S2: Computational Infrastructure and Reproducibility Specifications</w:t>
      </w:r>
    </w:p>
    <w:p>
      <w:r>
        <w:t>All computational scripts, docking input configurations, PDBQT coordinates, quantum mechanical geometry logs, descriptor calculation matrices, and surrogate QSPR models are made available under an open-source MIT license.</w:t>
        <w:br/>
        <w:t>• Primary Public Repository: https://github.com/Doctorado-AI/kras-g12d-gc3n4-qspr (Release v1.0.0, commit verified)</w:t>
        <w:br/>
        <w:t>• Permanent Archival DOI: Zenodo Repository DOI: 10.5281/zenodo.14920845</w:t>
        <w:br/>
        <w:t>• Software Ecosystem: AutoDock Vina v1.2.7, xTB v6.7.1, RDKit v2024.03.1, Python v3.12.3, scikit-learn v1.4.2, NumPy v1.26.4, SciPy v1.13.0.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