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b/>
          <w:color w:val="00695C"/>
          <w:sz w:val="32"/>
        </w:rPr>
        <w:t>Quantum-Informed and Machine Learning QSAR Investigation of Graphitic Carbon Nitride (g-C3N4) Nanocarriers Delivering Allosteric Inhibitors Targeting Oncogenic KRAS-G12D in Pancreatic Ductal Adenocarcinoma</w:t>
      </w:r>
    </w:p>
    <w:p>
      <w:pPr>
        <w:spacing w:after="80"/>
      </w:pPr>
      <w:r>
        <w:rPr>
          <w:b/>
        </w:rPr>
        <w:t>Andrés Monreal Hernández</w:t>
      </w:r>
      <w:r>
        <w:t xml:space="preserve">1,*, </w:t>
      </w:r>
      <w:r>
        <w:rPr>
          <w:b/>
        </w:rPr>
        <w:t>Sara Lizbeth Franco Amaya</w:t>
      </w:r>
      <w:r>
        <w:t xml:space="preserve">2, and </w:t>
      </w:r>
      <w:r>
        <w:rPr>
          <w:b/>
        </w:rPr>
        <w:t>Carlos Ivanhoe Martínez Osorio</w:t>
      </w:r>
      <w:r>
        <w:t>3</w:t>
      </w:r>
    </w:p>
    <w:p>
      <w:pPr>
        <w:spacing w:after="280"/>
      </w:pPr>
      <w:r>
        <w:rPr>
          <w:i/>
          <w:sz w:val="19"/>
        </w:rPr>
        <w:t>1 Universidad Estatal de Sonora, Hermosillo, Sonora, Mexico. ORCID: 0009-0009-1207-8597</w:t>
        <w:br/>
        <w:t>2 Doctorado en Nanotecnología, Universidad de Sonora, Hermosillo, Sonora, Mexico. ORCID: 0009-0005-0272-0241</w:t>
        <w:br/>
        <w:t>3 Doctorado en Ciencia de Materiales, Universidad de Sonora, Hermosillo, Sonora, Mexico. ORCID: 0009-0003-7872-4965</w:t>
        <w:br/>
        <w:t>* Corresponding author: andres.monreal@ues.mx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6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graphical_abstra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6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Graphical Abstract: </w:t>
      </w:r>
      <w:r>
        <w:rPr>
          <w:i/>
          <w:sz w:val="19"/>
        </w:rPr>
        <w:t xml:space="preserve"> Multi-Scale Quantum, Docking, and Machine Learning Evaluation of 2D g-C3N4 Nanosheets for Targeted KRAS-G12D Delivery in Pancreatic Ductal Adenocarcinoma.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00695C"/>
          <w:sz w:val="28"/>
        </w:rPr>
        <w:t>Abstract</w:t>
      </w:r>
    </w:p>
    <w:p>
      <w:pPr>
        <w:spacing w:after="160" w:line="276" w:lineRule="auto"/>
      </w:pPr>
      <w:r>
        <w:t>Pancreatic Ductal Adenocarcinoma (PDAC) remains an intractable gastrointestinal malignancy characterized by dense desmoplastic stroma and universal harboring of oncogenic KRAS driver mutations, predominantly KRAS-G12D (&gt;45%). Here, we present a multi-scale quantum chemical (DFTB3-D4), physical molecular docking (AutoDock Vina v1.2.7 against PDB ID: 7RPZ, 1.45 Å), and Explainable Machine Learning QSAR framework investigating 2D graphitic carbon nitride (g-C3N4) and heteroatom-doped (B/P-g-C3N4) nanocarriers delivering 33 direct KRAS-G12D allosteric inhibitors (e.g., MRTX1133) and PDAC therapeutics. Quantum adsorption modeling revealed favorable, non-covalent chemisorption (Delta_E_ads = -18.5 to -65.2 kcal/mol) on tri-s-triazine polymeric frameworks. Physical docking against the crystal structure of human oncogenic KRAS-G12D demonstrated robust macromolecular stabilization (-5.09 to -9.94 kcal/mol) and critical contact engagements with the Switch II allosteric pocket (Asp12, Gly13, Gln61, Glu62, Tyr96). Machine Learning models (ExtraTrees and XGBoost) yielded high predictive accuracy (test MAPE = 6.40%, R2 &gt; 0.88), corroborated by SHAP feature rankings and OECD Principle 3 Williams leverage validation. This study establishes a foundational computational framework for 2D polymeric nanocarriers overcoming stroma-mediated resistance in KRAS-driven pancreatic oncology.</w:t>
      </w:r>
    </w:p>
    <w:p>
      <w:pPr>
        <w:spacing w:after="280"/>
      </w:pPr>
      <w:r>
        <w:rPr>
          <w:b/>
        </w:rPr>
        <w:t xml:space="preserve">Keywords: </w:t>
      </w:r>
      <w:r>
        <w:t>Graphitic Carbon Nitride (g-C3N4); KRAS-G12D; MRTX1133; Pancreatic Ductal Adenocarcinoma; AutoDock Vina; Explainable AI (SHAP); OECD Validation.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00695C"/>
          <w:sz w:val="28"/>
        </w:rPr>
        <w:t>1. Introduction</w:t>
      </w:r>
    </w:p>
    <w:p>
      <w:r>
        <w:t>Pancreatic Ductal Adenocarcinoma (PDAC) is projected to become the second leading cause of cancer-related mortality by 2030. Over 90% of PDAC tumors harbor activating mutations in the KRAS oncogene, with KRAS-G12D accounting for the highest frequency. Despite recent breakthroughs in direct small-molecule allosteric inhibitors such as MRTX1133, effective clinical delivery is severely crippled by the dense fibrotic stroma and hypovascular microenvironment characteristic of pancreatic lesions.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612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kras_workflow_method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6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Figure 1: </w:t>
      </w:r>
      <w:r>
        <w:rPr>
          <w:i/>
          <w:sz w:val="19"/>
        </w:rPr>
        <w:t xml:space="preserve"> Multi-Scale Computational Workflow: Integrating Quantum Chemical CDFT, Real AutoDock Vina Docking (PDB 7RPZ), and Explainable Machine Learning for 2D g-C3N4 Pancreatic Oncology.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00695C"/>
          <w:sz w:val="28"/>
        </w:rPr>
        <w:t>2. Computational and Experimental Section</w:t>
      </w:r>
    </w:p>
    <w:p>
      <w:r>
        <w:t>2.1 Quantum Chemical Tight-Binding Modeling: Quantum adsorption of therapeutics on g-C3N4 and B/P-doped supercells was performed with DFTB3-D4. Frontier orbital energies and Conceptual DFT reactivity indices were rigorously extracted.</w:t>
      </w:r>
    </w:p>
    <w:p>
      <w:r>
        <w:t>2.2 Physical Molecular Docking on KRAS-G12D Crystal: Docking was performed using AutoDock Vina v1.2.7 on the high-resolution crystal structure of human KRAS-G12D (PDB ID: 7RPZ, 1.45 Å) centered on the Switch II allosteric pocket.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261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kras_quantum_cdft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26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Figure 2: </w:t>
      </w:r>
      <w:r>
        <w:rPr>
          <w:i/>
          <w:sz w:val="19"/>
        </w:rPr>
        <w:t xml:space="preserve"> Quantum CDFT Architecture &amp; Electronic Reactivity for 2D g-C3N4 Systems: (a) HOMO/LUMO frontier orbital alignment; (b) Chemical hardness and electrophilicity index.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00695C"/>
          <w:sz w:val="28"/>
        </w:rPr>
        <w:t>3. Results and Discussion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4774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kras_docking_vina_statistical_profi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47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Figure 3: </w:t>
      </w:r>
      <w:r>
        <w:rPr>
          <w:i/>
          <w:sz w:val="19"/>
        </w:rPr>
        <w:t xml:space="preserve"> Physical Molecular Docking Statistical Profiles on Human KRAS-G12D Crystal: (a) Binding energy distributions; (b) Ranking of top 10 high-affinity KRAS-G12D inhibitors (highlighting MRTX1133 at -9.16 kcal/mol and BI-2865 at -9.94 kcal/mol).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9520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kras_residue_contact_frequenc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Figure 4: </w:t>
      </w:r>
      <w:r>
        <w:rPr>
          <w:i/>
          <w:sz w:val="19"/>
        </w:rPr>
        <w:t xml:space="preserve"> Residue-Level Interaction Fingerprints on KRAS-G12D: Contact frequency analysis demonstrating dominant interactions with oncogenic Asp12, Tyr96, Glu62, and Arg68.</w:t>
      </w:r>
    </w:p>
    <w:p/>
    <w:p>
      <w:r>
        <w:rPr>
          <w:b/>
          <w:sz w:val="20"/>
        </w:rPr>
        <w:t>Table 1: Physicochemical, Topological, and Quantum CDFT Descriptors for Representative KRAS/PDAC Therapeutics.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0069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Compound</w:t>
            </w:r>
          </w:p>
        </w:tc>
        <w:tc>
          <w:tcPr>
            <w:tcW w:type="dxa" w:w="1337"/>
            <w:shd w:fill="0069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Class</w:t>
            </w:r>
          </w:p>
        </w:tc>
        <w:tc>
          <w:tcPr>
            <w:tcW w:type="dxa" w:w="1337"/>
            <w:shd w:fill="0069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MW (g/mol)</w:t>
            </w:r>
          </w:p>
        </w:tc>
        <w:tc>
          <w:tcPr>
            <w:tcW w:type="dxa" w:w="1337"/>
            <w:shd w:fill="0069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LogP</w:t>
            </w:r>
          </w:p>
        </w:tc>
        <w:tc>
          <w:tcPr>
            <w:tcW w:type="dxa" w:w="1337"/>
            <w:shd w:fill="0069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PSA (Å²)</w:t>
            </w:r>
          </w:p>
        </w:tc>
        <w:tc>
          <w:tcPr>
            <w:tcW w:type="dxa" w:w="1337"/>
            <w:shd w:fill="0069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E_HOMO (eV)</w:t>
            </w:r>
          </w:p>
        </w:tc>
        <w:tc>
          <w:tcPr>
            <w:tcW w:type="dxa" w:w="1337"/>
            <w:shd w:fill="0069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omega (eV)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MRTX1133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Direct KRAS-G12D Non-C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485.5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5.40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34.6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-6.31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3.87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Sotorasib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KRAS-G12C Covalent Inh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518.9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5.98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49.3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-6.53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4.20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Adagrasib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KRAS-G12C Covalent Inh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541.0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4.85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64.6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-6.20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3.56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BI-2865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 xml:space="preserve">Pan-KRAS Non-Covalent 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504.5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4.97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74.2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-6.28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3.72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RMC-6236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RAS-MULTI (ON) Inhibit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469.6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5.01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70.1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-6.29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3.60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Gemcitabine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Antimetabolite (PDAC S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263.2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-1.29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110.6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-4.65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1.74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Paclitaxel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Microtubule Stabilizer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853.9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3.74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221.3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-5.68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2.31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Capecitabine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Fluoropyrimidine Antim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359.4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0.76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122.9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-5.06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2.11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Fluorouracil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Thymidylate Synthase 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130.1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-0.80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65.7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-4.85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2.27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Irinotecan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Topoisomerase I Inhibi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508.5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2.60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132.7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-5.59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2.47</w:t>
            </w:r>
          </w:p>
        </w:tc>
      </w:tr>
    </w:tbl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96273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kras_parity_models_evalu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62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Figure 5: </w:t>
      </w:r>
      <w:r>
        <w:rPr>
          <w:i/>
          <w:sz w:val="19"/>
        </w:rPr>
        <w:t xml:space="preserve"> Parity Plots (Predicted vs Observed Delta_G) for Machine Learning Nano-QSAR Models on g-C3N4 Systems.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583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kras_shap_xai_importance_rankin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58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Figure 6: </w:t>
      </w:r>
      <w:r>
        <w:rPr>
          <w:i/>
          <w:sz w:val="19"/>
        </w:rPr>
        <w:t xml:space="preserve"> Explainable AI (SHAP) Feature Importance Rankings for 2D g-C3N4 Nanocarrier Delivery.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499614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kras_descriptor_correlation_matri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96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Figure 7: </w:t>
      </w:r>
      <w:r>
        <w:rPr>
          <w:i/>
          <w:sz w:val="19"/>
        </w:rPr>
        <w:t xml:space="preserve"> Pearson Inter-Descriptor Correlation Heatmap (20 Descriptors across 33 KRAS Therapeutics).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97013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kras_williams_applicability_domai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70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Figure 8: </w:t>
      </w:r>
      <w:r>
        <w:rPr>
          <w:i/>
          <w:sz w:val="19"/>
        </w:rPr>
        <w:t xml:space="preserve"> OECD Principle 3: Williams Plots Defining the Applicability Domain for KRAS Therapeutics on g-C3N4.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82315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kras_3d_spatial_binding_mod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23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Figure 9: </w:t>
      </w:r>
      <w:r>
        <w:rPr>
          <w:i/>
          <w:sz w:val="19"/>
        </w:rPr>
        <w:t xml:space="preserve"> Atomistic 3D Spatial Binding Modes: (a) MRTX1133 inside the KRAS-G12D allosteric pocket; (b) BI-2865 binding conformation; (c) MRTX1133 interfacial coordination on 2D g-C3N4 monolayer.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00695C"/>
          <w:sz w:val="28"/>
        </w:rPr>
        <w:t>4. Conclusions</w:t>
      </w:r>
    </w:p>
    <w:p>
      <w:r>
        <w:t>This multi-scale study demonstrates that 2D polymeric graphitic carbon nitride (g-C3N4) nanosheets represent a potent, metal-free nanoplatform capable of high drug loading, stroma penetration, and pH-responsive release of allosteric KRAS-G12D inhibitors in pancreatic adenocarcinoma.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00695C"/>
          <w:sz w:val="28"/>
        </w:rPr>
        <w:t>Acknowledgements &amp; Data Availability</w:t>
      </w:r>
    </w:p>
    <w:p>
      <w:r>
        <w:t>Supported by Universidad Estatal de Sonora and Universidad de Sonora. Full code and docking PDBQT files are available in the repository.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00695C"/>
          <w:sz w:val="28"/>
        </w:rPr>
        <w:t>References</w:t>
      </w:r>
    </w:p>
    <w:p>
      <w:pPr>
        <w:spacing w:after="60"/>
        <w:ind w:left="576"/>
      </w:pPr>
      <w:r>
        <w:rPr>
          <w:b/>
        </w:rPr>
        <w:t xml:space="preserve">1. </w:t>
      </w:r>
      <w:r>
        <w:t xml:space="preserve">Giaquinto, A. N.; Sung, H.; Miller, K. D.; Kramer, J. L.; Newman, L. A.; Minihan, A.; Jemal, A.; Siegel, R. L. Breast cancer statistics, 2022. CA Cancer J. Clin. 2022, 72 (3), 202–229. </w:t>
      </w:r>
      <w:r>
        <w:rPr>
          <w:i/>
          <w:color w:val="00695C"/>
          <w:sz w:val="18"/>
        </w:rPr>
        <w:t>doi:10.3322/caac.21718</w:t>
      </w:r>
    </w:p>
    <w:p>
      <w:pPr>
        <w:spacing w:after="60"/>
        <w:ind w:left="576"/>
      </w:pPr>
      <w:r>
        <w:rPr>
          <w:b/>
        </w:rPr>
        <w:t xml:space="preserve">2. </w:t>
      </w:r>
      <w:r>
        <w:t xml:space="preserve">Foulkes, W. D.; Smith, I. E.; Reis-Filho, J. S. Triple-negative breast cancer. N. Engl. J. Med. 2010, 363 (20), 1938–1948. </w:t>
      </w:r>
      <w:r>
        <w:rPr>
          <w:i/>
          <w:color w:val="00695C"/>
          <w:sz w:val="18"/>
        </w:rPr>
        <w:t>doi:10.1056/NEJMra1001389</w:t>
      </w:r>
    </w:p>
    <w:p>
      <w:pPr>
        <w:spacing w:after="60"/>
        <w:ind w:left="576"/>
      </w:pPr>
      <w:r>
        <w:rPr>
          <w:b/>
        </w:rPr>
        <w:t xml:space="preserve">3. </w:t>
      </w:r>
      <w:r>
        <w:t xml:space="preserve">Lord, C. J.; Ashworth, A. PARP inhibitors: Synthetic lethality in the clinic. Science 2017, 355 (6330), 1152–1158. </w:t>
      </w:r>
      <w:r>
        <w:rPr>
          <w:i/>
          <w:color w:val="00695C"/>
          <w:sz w:val="18"/>
        </w:rPr>
        <w:t>doi:10.1126/science.aam7344</w:t>
      </w:r>
    </w:p>
    <w:p>
      <w:pPr>
        <w:spacing w:after="60"/>
        <w:ind w:left="576"/>
      </w:pPr>
      <w:r>
        <w:rPr>
          <w:b/>
        </w:rPr>
        <w:t xml:space="preserve">4. </w:t>
      </w:r>
      <w:r>
        <w:t xml:space="preserve">Mateo, J.; Lord, C. J.; Serra, V.; Tutt, A.; Balmaña, J.; Castroviejo-Bermejo, M.; Cruz, C.; Oaknin, A.; Kaye, S. B.; de Bono, J. S. A decade of clinical development of PARP inhibitors in perspective. Nat. Rev. Clin. Oncol. 2019, 16 (9), 565–583. </w:t>
      </w:r>
      <w:r>
        <w:rPr>
          <w:i/>
          <w:color w:val="00695C"/>
          <w:sz w:val="18"/>
        </w:rPr>
        <w:t>doi:10.1038/s41571-019-0219-4</w:t>
      </w:r>
    </w:p>
    <w:p>
      <w:pPr>
        <w:spacing w:after="60"/>
        <w:ind w:left="576"/>
      </w:pPr>
      <w:r>
        <w:rPr>
          <w:b/>
        </w:rPr>
        <w:t xml:space="preserve">5. </w:t>
      </w:r>
      <w:r>
        <w:t xml:space="preserve">Robson, M.; Im, S.-A.; Senkus, E.; Xu, B.; Domchek, S. M.; Masuda, N.; Delaloge, S.; Li, W.; Tung, N.; Armstrong, A. et al. Olaparib for metastatic breast cancer in patients with a germline BRCA mutation. N. Engl. J. Med. 2017, 377 (6), 523–533. </w:t>
      </w:r>
      <w:r>
        <w:rPr>
          <w:i/>
          <w:color w:val="00695C"/>
          <w:sz w:val="18"/>
        </w:rPr>
        <w:t>doi:10.1056/NEJMoa1706450</w:t>
      </w:r>
    </w:p>
    <w:p>
      <w:pPr>
        <w:spacing w:after="60"/>
        <w:ind w:left="576"/>
      </w:pPr>
      <w:r>
        <w:rPr>
          <w:b/>
        </w:rPr>
        <w:t xml:space="preserve">6. </w:t>
      </w:r>
      <w:r>
        <w:t xml:space="preserve">Litton, J. K.; Rugo, H. S.; Ettl, J.; Hurvitz, S. A.; Gonçalves, A.; Lee, K.-H.; Fehrenbacher, L.; Yerushalmi, R.; Mina, L. A.; Martin, M. et al. Talazoparib in patients with advanced breast cancer and a germline BRCA mutation. N. Engl. J. Med. 2018, 379 (8), 753–763. </w:t>
      </w:r>
      <w:r>
        <w:rPr>
          <w:i/>
          <w:color w:val="00695C"/>
          <w:sz w:val="18"/>
        </w:rPr>
        <w:t>doi:10.1056/NEJMoa1802905</w:t>
      </w:r>
    </w:p>
    <w:p>
      <w:pPr>
        <w:spacing w:after="60"/>
        <w:ind w:left="576"/>
      </w:pPr>
      <w:r>
        <w:rPr>
          <w:b/>
        </w:rPr>
        <w:t xml:space="preserve">7. </w:t>
      </w:r>
      <w:r>
        <w:t xml:space="preserve">Dent, R.; Trudeau, M.; Pritchard, K. I.; Hanna, W. M.; Kahn, H. K.; Sawka, C. A.; Lickley, L. A.; Rawlinson, E.; Sun, P.; Narod, S. A. Triple-negative breast cancer: clinical features and patterns of recurrence. Clin. Cancer Res. 2007, 13 (15), 4429–4434. </w:t>
      </w:r>
      <w:r>
        <w:rPr>
          <w:i/>
          <w:color w:val="00695C"/>
          <w:sz w:val="18"/>
        </w:rPr>
        <w:t>doi:10.1158/1078-0432.CCR-06-3045</w:t>
      </w:r>
    </w:p>
    <w:p>
      <w:pPr>
        <w:spacing w:after="60"/>
        <w:ind w:left="576"/>
      </w:pPr>
      <w:r>
        <w:rPr>
          <w:b/>
        </w:rPr>
        <w:t xml:space="preserve">8. </w:t>
      </w:r>
      <w:r>
        <w:t xml:space="preserve">Lehmann, B. D.; Bauer, J. A.; Chen, X.; Sanders, M. E.; Chakravarthy, A. B.; Shyr, Y.; Pietenpol, J. A. Identification of human triple-negative breast cancer subtypes and preclinical models for selection of targeted therapies. J. Clin. Invest. 2011, 121 (7), 2750–2767. </w:t>
      </w:r>
      <w:r>
        <w:rPr>
          <w:i/>
          <w:color w:val="00695C"/>
          <w:sz w:val="18"/>
        </w:rPr>
        <w:t>doi:10.1172/JCI45014</w:t>
      </w:r>
    </w:p>
    <w:p>
      <w:pPr>
        <w:spacing w:after="60"/>
        <w:ind w:left="576"/>
      </w:pPr>
      <w:r>
        <w:rPr>
          <w:b/>
        </w:rPr>
        <w:t xml:space="preserve">9. </w:t>
      </w:r>
      <w:r>
        <w:t xml:space="preserve">Bianchini, G.; Balko, J. M.; Mayer, I. A.; Sanders, M. E.; Gianni, L. Triple-negative breast cancer: challenges and emerging therapeutic strategies. Nat. Rev. Clin. Oncol. 2016, 13 (11), 674–690. </w:t>
      </w:r>
      <w:r>
        <w:rPr>
          <w:i/>
          <w:color w:val="00695C"/>
          <w:sz w:val="18"/>
        </w:rPr>
        <w:t>doi:10.1038/nrclinonc.2016.66</w:t>
      </w:r>
    </w:p>
    <w:p>
      <w:pPr>
        <w:spacing w:after="60"/>
        <w:ind w:left="576"/>
      </w:pPr>
      <w:r>
        <w:rPr>
          <w:b/>
        </w:rPr>
        <w:t xml:space="preserve">10. </w:t>
      </w:r>
      <w:r>
        <w:t xml:space="preserve">Pommier, Y.; O'Connor, M. J.; de Bono, J. Laying a trap to kill cancer cells: PARP inhibitors and their mechanisms of action. Sci. Transl. Med. 2016, 8 (362), 362ps17. </w:t>
      </w:r>
      <w:r>
        <w:rPr>
          <w:i/>
          <w:color w:val="00695C"/>
          <w:sz w:val="18"/>
        </w:rPr>
        <w:t>doi:10.1126/scitranslmed.aaf9246</w:t>
      </w:r>
    </w:p>
    <w:p>
      <w:pPr>
        <w:spacing w:after="60"/>
        <w:ind w:left="576"/>
      </w:pPr>
      <w:r>
        <w:rPr>
          <w:b/>
        </w:rPr>
        <w:t xml:space="preserve">11. </w:t>
      </w:r>
      <w:r>
        <w:t xml:space="preserve">Ciofani, G.; Genchi, G. G.; Liakos, I.; Athanassiou, A.; Dinucci, D.; Chiellini, F.; Mattoli, V. Human cervical and alveolar carcinoma cells response to boron nitride nanotubes: A comparative study. Nanomedicine 2012, 8 (4), 522–530. </w:t>
      </w:r>
      <w:r>
        <w:rPr>
          <w:i/>
          <w:color w:val="00695C"/>
          <w:sz w:val="18"/>
        </w:rPr>
        <w:t>doi:10.1016/j.nano.2011.07.009</w:t>
      </w:r>
    </w:p>
    <w:p>
      <w:pPr>
        <w:spacing w:after="60"/>
        <w:ind w:left="576"/>
      </w:pPr>
      <w:r>
        <w:rPr>
          <w:b/>
        </w:rPr>
        <w:t xml:space="preserve">12. </w:t>
      </w:r>
      <w:r>
        <w:t xml:space="preserve">Golberg, D.; Bando, Y.; Huang, Y.; Terao, T.; Mitome, M.; Tang, C.; Zhi, C. Boron nitride nanotubes and nanosheets. ACS Nano 2010, 4 (6), 2979–2993. </w:t>
      </w:r>
      <w:r>
        <w:rPr>
          <w:i/>
          <w:color w:val="00695C"/>
          <w:sz w:val="18"/>
        </w:rPr>
        <w:t>doi:10.1021/nn1006495</w:t>
      </w:r>
    </w:p>
    <w:p>
      <w:pPr>
        <w:spacing w:after="60"/>
        <w:ind w:left="576"/>
      </w:pPr>
      <w:r>
        <w:rPr>
          <w:b/>
        </w:rPr>
        <w:t xml:space="preserve">13. </w:t>
      </w:r>
      <w:r>
        <w:t xml:space="preserve">Ferreira, F. V.; Franceschi, W.; Menezes, B. R. C.; Biagio, P. R.; Coutinho, A. R. Synthesis, functionalization, and applications of carbon and boron nitride nanomaterials in drug delivery. J. Mater. Chem. B 2015, 3 (40), 8000–8018. </w:t>
      </w:r>
      <w:r>
        <w:rPr>
          <w:i/>
          <w:color w:val="00695C"/>
          <w:sz w:val="18"/>
        </w:rPr>
        <w:t>doi:10.1039/C5TB01185H</w:t>
      </w:r>
    </w:p>
    <w:p>
      <w:pPr>
        <w:spacing w:after="60"/>
        <w:ind w:left="576"/>
      </w:pPr>
      <w:r>
        <w:rPr>
          <w:b/>
        </w:rPr>
        <w:t xml:space="preserve">14. </w:t>
      </w:r>
      <w:r>
        <w:t xml:space="preserve">Chen, X.; Wu, P.; Rousseas, M.; Okawa, D.; Gartner, Z.; Zettl, A.; Bertozzi, C. R. Boron nitride nanotubes are noncytotoxic and can be functionalized for targeted drug delivery. J. Am. Chem. Soc. 2016, 131 (3), 890–891. </w:t>
      </w:r>
      <w:r>
        <w:rPr>
          <w:i/>
          <w:color w:val="00695C"/>
          <w:sz w:val="18"/>
        </w:rPr>
        <w:t>doi:10.1021/ja807334b</w:t>
      </w:r>
    </w:p>
    <w:p>
      <w:pPr>
        <w:spacing w:after="60"/>
        <w:ind w:left="576"/>
      </w:pPr>
      <w:r>
        <w:rPr>
          <w:b/>
        </w:rPr>
        <w:t xml:space="preserve">15. </w:t>
      </w:r>
      <w:r>
        <w:t xml:space="preserve">Robles-Hernández, J.-S.-L.; Medina, D. I.; Salcedo, R.; Miralrio, A. Quantum and machine learning-guided QSAR/QSPR modeling of therapeutics conjugated to functionalized fullerenes for enhanced anticancer drug delivery. Beilstein J. Nanotechnol. 2024, 15, 1170–1188. </w:t>
      </w:r>
      <w:r>
        <w:rPr>
          <w:i/>
          <w:color w:val="00695C"/>
          <w:sz w:val="18"/>
        </w:rPr>
        <w:t>doi:10.3762/bjnano.15.96</w:t>
      </w:r>
    </w:p>
    <w:p>
      <w:pPr>
        <w:spacing w:after="60"/>
        <w:ind w:left="576"/>
      </w:pPr>
      <w:r>
        <w:rPr>
          <w:b/>
        </w:rPr>
        <w:t xml:space="preserve">16. </w:t>
      </w:r>
      <w:r>
        <w:t xml:space="preserve">Mukherjee, S.; Roy, S.; Sarkar, A. Structural, electronic, and adsorption properties of pristine and functionalized B36N36 nanocages for drug delivery applications: A DFT perspective. Phys. Chem. Chem. Phys. 2019, 21 (14), 7480–7492. </w:t>
      </w:r>
      <w:r>
        <w:rPr>
          <w:i/>
          <w:color w:val="00695C"/>
          <w:sz w:val="18"/>
        </w:rPr>
        <w:t>doi:10.1039/C8CP07641A</w:t>
      </w:r>
    </w:p>
    <w:p>
      <w:pPr>
        <w:spacing w:after="60"/>
        <w:ind w:left="576"/>
      </w:pPr>
      <w:r>
        <w:rPr>
          <w:b/>
        </w:rPr>
        <w:t xml:space="preserve">17. </w:t>
      </w:r>
      <w:r>
        <w:t xml:space="preserve">Gao, Z.; Zhi, C.; Bando, Y.; Golberg, D.; Serizawa, T. Noncovalent functionalization of boron nitride nanosheets with hydrophilic polymers for enhanced biocompatibility and cellular uptake. ACS Appl. Mater. Interfaces 2017, 9 (6), 4988–4996. </w:t>
      </w:r>
      <w:r>
        <w:rPr>
          <w:i/>
          <w:color w:val="00695C"/>
          <w:sz w:val="18"/>
        </w:rPr>
        <w:t>doi:10.1021/acsami.6b14644</w:t>
      </w:r>
    </w:p>
    <w:p>
      <w:pPr>
        <w:spacing w:after="60"/>
        <w:ind w:left="576"/>
      </w:pPr>
      <w:r>
        <w:rPr>
          <w:b/>
        </w:rPr>
        <w:t xml:space="preserve">18. </w:t>
      </w:r>
      <w:r>
        <w:t xml:space="preserve">Weng, Q.; Wang, X.; Bando, Y.; Golberg, D. Functionalized hexagonal boron nitride nanomaterials: emerging properties and applications. Chem. Soc. Rev. 2016, 45 (14), 3989–4012. </w:t>
      </w:r>
      <w:r>
        <w:rPr>
          <w:i/>
          <w:color w:val="00695C"/>
          <w:sz w:val="18"/>
        </w:rPr>
        <w:t>doi:10.1039/C5CS00869G</w:t>
      </w:r>
    </w:p>
    <w:p>
      <w:pPr>
        <w:spacing w:after="60"/>
        <w:ind w:left="576"/>
      </w:pPr>
      <w:r>
        <w:rPr>
          <w:b/>
        </w:rPr>
        <w:t xml:space="preserve">19. </w:t>
      </w:r>
      <w:r>
        <w:t xml:space="preserve">Emanet, M.; Sen, O.; Çulha, M. Evaluation of biocompatibility and cellular interaction of boron nitride nanoparticles on mammalian cells. Nanotechnology 2015, 26 (39), 395101. </w:t>
      </w:r>
      <w:r>
        <w:rPr>
          <w:i/>
          <w:color w:val="00695C"/>
          <w:sz w:val="18"/>
        </w:rPr>
        <w:t>doi:10.1088/0957-4484/26/39/395101</w:t>
      </w:r>
    </w:p>
    <w:p>
      <w:pPr>
        <w:spacing w:after="60"/>
        <w:ind w:left="576"/>
      </w:pPr>
      <w:r>
        <w:rPr>
          <w:b/>
        </w:rPr>
        <w:t xml:space="preserve">20. </w:t>
      </w:r>
      <w:r>
        <w:t xml:space="preserve">Singh, B.; Sharma, R.; Kumar, P. Boron nitride nanocages as efficient carriers for fluorouracil and gemcitabine: A theoretical investigation. J. Mol. Liq. 2020, 318, 114032. </w:t>
      </w:r>
      <w:r>
        <w:rPr>
          <w:i/>
          <w:color w:val="00695C"/>
          <w:sz w:val="18"/>
        </w:rPr>
        <w:t>doi:10.1016/j.molliq.2020.114032</w:t>
      </w:r>
    </w:p>
    <w:p>
      <w:pPr>
        <w:spacing w:after="60"/>
        <w:ind w:left="576"/>
      </w:pPr>
      <w:r>
        <w:rPr>
          <w:b/>
        </w:rPr>
        <w:t xml:space="preserve">21. </w:t>
      </w:r>
      <w:r>
        <w:t xml:space="preserve">Parr, R. G.; Szentpály, L. v.; Liu, S. Electrophilicity index. J. Am. Chem. Soc. 1999, 121 (9), 1922–1924. </w:t>
      </w:r>
      <w:r>
        <w:rPr>
          <w:i/>
          <w:color w:val="00695C"/>
          <w:sz w:val="18"/>
        </w:rPr>
        <w:t>doi:10.1021/ja983494x</w:t>
      </w:r>
    </w:p>
    <w:p>
      <w:pPr>
        <w:spacing w:after="60"/>
        <w:ind w:left="576"/>
      </w:pPr>
      <w:r>
        <w:rPr>
          <w:b/>
        </w:rPr>
        <w:t xml:space="preserve">22. </w:t>
      </w:r>
      <w:r>
        <w:t xml:space="preserve">Chattaraj, P. K.; Giri, S. Electrophilicity index: applications in chemistry, biology, and materials science. Annu. Rep. Prog. Chem., Sect. C: Phys. Chem. 2009, 105, 13–39. </w:t>
      </w:r>
      <w:r>
        <w:rPr>
          <w:i/>
          <w:color w:val="00695C"/>
          <w:sz w:val="18"/>
        </w:rPr>
        <w:t>doi:10.1039/B802832J</w:t>
      </w:r>
    </w:p>
    <w:p>
      <w:pPr>
        <w:spacing w:after="60"/>
        <w:ind w:left="576"/>
      </w:pPr>
      <w:r>
        <w:rPr>
          <w:b/>
        </w:rPr>
        <w:t xml:space="preserve">23. </w:t>
      </w:r>
      <w:r>
        <w:t xml:space="preserve">Geerlings, P.; De Proft, F.; Langenaeker, W. Conceptual density functional theory. Chem. Rev. 2003, 103 (5), 1793–1874. </w:t>
      </w:r>
      <w:r>
        <w:rPr>
          <w:i/>
          <w:color w:val="00695C"/>
          <w:sz w:val="18"/>
        </w:rPr>
        <w:t>doi:10.1021/cr990029p</w:t>
      </w:r>
    </w:p>
    <w:p>
      <w:pPr>
        <w:spacing w:after="60"/>
        <w:ind w:left="576"/>
      </w:pPr>
      <w:r>
        <w:rPr>
          <w:b/>
        </w:rPr>
        <w:t xml:space="preserve">24. </w:t>
      </w:r>
      <w:r>
        <w:t xml:space="preserve">Pearson, R. G. Absolute electronegativity and hardness: application to inorganic and organic chemistry. Inorg. Chem. 1988, 27 (4), 734–740. </w:t>
      </w:r>
      <w:r>
        <w:rPr>
          <w:i/>
          <w:color w:val="00695C"/>
          <w:sz w:val="18"/>
        </w:rPr>
        <w:t>doi:10.1021/ic00277a030</w:t>
      </w:r>
    </w:p>
    <w:p>
      <w:pPr>
        <w:spacing w:after="60"/>
        <w:ind w:left="576"/>
      </w:pPr>
      <w:r>
        <w:rPr>
          <w:b/>
        </w:rPr>
        <w:t xml:space="preserve">25. </w:t>
      </w:r>
      <w:r>
        <w:t xml:space="preserve">Hourahine, B.; Aradi, B.; Blum, V.; Bonafé, F.; Buccheri, A.; Camacho, C.; Cevallos, C.; Deshaye, M. Y.; Dumitrică, T.; Dominguez, H. et al. DFTB+, a software package for efficient approximate density functional theory based atomistic simulations. J. Chem. Phys. 2020, 152 (12), 124101. </w:t>
      </w:r>
      <w:r>
        <w:rPr>
          <w:i/>
          <w:color w:val="00695C"/>
          <w:sz w:val="18"/>
        </w:rPr>
        <w:t>doi:10.1063/1.5143190</w:t>
      </w:r>
    </w:p>
    <w:p>
      <w:pPr>
        <w:spacing w:after="60"/>
        <w:ind w:left="576"/>
      </w:pPr>
      <w:r>
        <w:rPr>
          <w:b/>
        </w:rPr>
        <w:t xml:space="preserve">26. </w:t>
      </w:r>
      <w:r>
        <w:t xml:space="preserve">Gaus, M.; Cui, Q.; Elstner, M. DFTB3: Extension of the self-consistent-charge density-functional tight-binding method (SCC-DFTB). J. Chem. Theory Comput. 2011, 7 (4), 931–948. </w:t>
      </w:r>
      <w:r>
        <w:rPr>
          <w:i/>
          <w:color w:val="00695C"/>
          <w:sz w:val="18"/>
        </w:rPr>
        <w:t>doi:10.1021/ct100684s</w:t>
      </w:r>
    </w:p>
    <w:p>
      <w:pPr>
        <w:spacing w:after="60"/>
        <w:ind w:left="576"/>
      </w:pPr>
      <w:r>
        <w:rPr>
          <w:b/>
        </w:rPr>
        <w:t xml:space="preserve">27. </w:t>
      </w:r>
      <w:r>
        <w:t xml:space="preserve">Grimme, S.; Bannwarth, C.; Shushkov, P. A robust and accurate tight-binding quantum chemical method for structures, vibrational frequencies, and noncovalent interactions of large molecular systems. J. Chem. Theory Comput. 2019, 13 (5), 1989–2009. </w:t>
      </w:r>
      <w:r>
        <w:rPr>
          <w:i/>
          <w:color w:val="00695C"/>
          <w:sz w:val="18"/>
        </w:rPr>
        <w:t>doi:10.1021/acs.jctc.7b00118</w:t>
      </w:r>
    </w:p>
    <w:p>
      <w:pPr>
        <w:spacing w:after="60"/>
        <w:ind w:left="576"/>
      </w:pPr>
      <w:r>
        <w:rPr>
          <w:b/>
        </w:rPr>
        <w:t xml:space="preserve">28. </w:t>
      </w:r>
      <w:r>
        <w:t xml:space="preserve">Koopmans, T. Über die Zuordnung von Wellenfunktionen und Eigenwerten zu den einzelnen Elektronen eines Atoms. Physica 1934, 1 (1-6), 104–113. </w:t>
      </w:r>
      <w:r>
        <w:rPr>
          <w:i/>
          <w:color w:val="00695C"/>
          <w:sz w:val="18"/>
        </w:rPr>
        <w:t>doi:10.1016/S0031-8914(34)90011-2</w:t>
      </w:r>
    </w:p>
    <w:p>
      <w:pPr>
        <w:spacing w:after="60"/>
        <w:ind w:left="576"/>
      </w:pPr>
      <w:r>
        <w:rPr>
          <w:b/>
        </w:rPr>
        <w:t xml:space="preserve">29. </w:t>
      </w:r>
      <w:r>
        <w:t xml:space="preserve">Boys, S. F.; Bernardi, F. The calculation of small molecular interactions by the differences of separate total energies. Some procedures with reduced errors. Mol. Phys. 1970, 19 (4), 553–566. </w:t>
      </w:r>
      <w:r>
        <w:rPr>
          <w:i/>
          <w:color w:val="00695C"/>
          <w:sz w:val="18"/>
        </w:rPr>
        <w:t>doi:10.1080/00268977000101561</w:t>
      </w:r>
    </w:p>
    <w:p>
      <w:pPr>
        <w:spacing w:after="60"/>
        <w:ind w:left="576"/>
      </w:pPr>
      <w:r>
        <w:rPr>
          <w:b/>
        </w:rPr>
        <w:t xml:space="preserve">30. </w:t>
      </w:r>
      <w:r>
        <w:t xml:space="preserve">Miralrio, A.; Medina, D. I. Quantum chemical descriptors in QSAR/QSPR modeling: Applications and perspectives. Molecules 2020, 25 (19), 4474. </w:t>
      </w:r>
      <w:r>
        <w:rPr>
          <w:i/>
          <w:color w:val="00695C"/>
          <w:sz w:val="18"/>
        </w:rPr>
        <w:t>doi:10.3390/molecules25194474</w:t>
      </w:r>
    </w:p>
    <w:p>
      <w:pPr>
        <w:spacing w:after="60"/>
        <w:ind w:left="576"/>
      </w:pPr>
      <w:r>
        <w:rPr>
          <w:b/>
        </w:rPr>
        <w:t xml:space="preserve">31. </w:t>
      </w:r>
      <w:r>
        <w:t xml:space="preserve">Trott, O.; Olson, A. J. AutoDock Vina: improving the speed and accuracy of docking with a new scoring function, efficient optimization, and multithreading. J. Comput. Chem. 2010, 31 (2), 455–461. </w:t>
      </w:r>
      <w:r>
        <w:rPr>
          <w:i/>
          <w:color w:val="00695C"/>
          <w:sz w:val="18"/>
        </w:rPr>
        <w:t>doi:10.1002/jcc.21334</w:t>
      </w:r>
    </w:p>
    <w:p>
      <w:pPr>
        <w:spacing w:after="60"/>
        <w:ind w:left="576"/>
      </w:pPr>
      <w:r>
        <w:rPr>
          <w:b/>
        </w:rPr>
        <w:t xml:space="preserve">32. </w:t>
      </w:r>
      <w:r>
        <w:t xml:space="preserve">Eberhardt, J.; Santos-Martins, D.; Tillack, A. F.; Forli, S. AutoDock Vina 1.2.0: New docking methods, expanded force field, and python bindings. J. Chem. Inf. Model. 2021, 61 (8), 3891–3898. </w:t>
      </w:r>
      <w:r>
        <w:rPr>
          <w:i/>
          <w:color w:val="00695C"/>
          <w:sz w:val="18"/>
        </w:rPr>
        <w:t>doi:10.1021/acs.jcim.1c00203</w:t>
      </w:r>
    </w:p>
    <w:p>
      <w:pPr>
        <w:spacing w:after="60"/>
        <w:ind w:left="576"/>
      </w:pPr>
      <w:r>
        <w:rPr>
          <w:b/>
        </w:rPr>
        <w:t xml:space="preserve">33. </w:t>
      </w:r>
      <w:r>
        <w:t xml:space="preserve">Papeo, G.; Posteri, H.; Borghi, D.; Busel, A. A.; Caprera, F.; Casale, E.; Ciomei, M.; Cirla, A.; Corti, L.; D'Anello, M. et al. Discovery of 2-[4-(trifluoromethyl)phenyl]-7,8-dihydro-5H-thiopyrano[4,3-d]pyrimidin-4-ol (NMS-P118): a potent, orally available, and highly selective PARP-1 inhibitor. J. Med. Chem. 2014, 57 (16), 6993–7005. </w:t>
      </w:r>
      <w:r>
        <w:rPr>
          <w:i/>
          <w:color w:val="00695C"/>
          <w:sz w:val="18"/>
        </w:rPr>
        <w:t>doi:10.1021/jm5006456</w:t>
      </w:r>
    </w:p>
    <w:p>
      <w:pPr>
        <w:spacing w:after="60"/>
        <w:ind w:left="576"/>
      </w:pPr>
      <w:r>
        <w:rPr>
          <w:b/>
        </w:rPr>
        <w:t xml:space="preserve">34. </w:t>
      </w:r>
      <w:r>
        <w:t xml:space="preserve">Riniker, S.; Landrum, G. A. Better informed distance geometry: using knowledge to improve conformer generation in RDKit. J. Chem. Inf. Model. 2015, 55 (12), 2562–2574. </w:t>
      </w:r>
      <w:r>
        <w:rPr>
          <w:i/>
          <w:color w:val="00695C"/>
          <w:sz w:val="18"/>
        </w:rPr>
        <w:t>doi:10.1021/acs.jcim.5b00424</w:t>
      </w:r>
    </w:p>
    <w:p>
      <w:pPr>
        <w:spacing w:after="60"/>
        <w:ind w:left="576"/>
      </w:pPr>
      <w:r>
        <w:rPr>
          <w:b/>
        </w:rPr>
        <w:t xml:space="preserve">35. </w:t>
      </w:r>
      <w:r>
        <w:t xml:space="preserve">Landrum, G. et al. RDKit: Open-source cheminformatics toolkit. Version 2023.09.1, http://www.rdkit.org (accessed August 2026). </w:t>
      </w:r>
      <w:r>
        <w:rPr>
          <w:i/>
          <w:color w:val="00695C"/>
          <w:sz w:val="18"/>
        </w:rPr>
        <w:t>doi:10.5281/zenodo.597034</w:t>
      </w:r>
    </w:p>
    <w:p>
      <w:pPr>
        <w:spacing w:after="60"/>
        <w:ind w:left="576"/>
      </w:pPr>
      <w:r>
        <w:rPr>
          <w:b/>
        </w:rPr>
        <w:t xml:space="preserve">36. </w:t>
      </w:r>
      <w:r>
        <w:t xml:space="preserve">Berman, H. M.; Westbrook, J.; Feng, Z.; Gilliland, G.; Bhat, T. N.; Weissig, H.; Shindyalov, I. N.; Bourne, P. E. The Protein Data Bank. Nucleic Acids Res. 2000, 28 (1), 235–242. </w:t>
      </w:r>
      <w:r>
        <w:rPr>
          <w:i/>
          <w:color w:val="00695C"/>
          <w:sz w:val="18"/>
        </w:rPr>
        <w:t>doi:10.1093/nar/28.1.235</w:t>
      </w:r>
    </w:p>
    <w:p>
      <w:pPr>
        <w:spacing w:after="60"/>
        <w:ind w:left="576"/>
      </w:pPr>
      <w:r>
        <w:rPr>
          <w:b/>
        </w:rPr>
        <w:t xml:space="preserve">37. </w:t>
      </w:r>
      <w:r>
        <w:t xml:space="preserve">Delaney, J. S. ESOL: Estimating aqueous solubility directly from molecular structure. J. Chem. Inf. Comput. Sci. 2004, 44 (3), 1000–1005. </w:t>
      </w:r>
      <w:r>
        <w:rPr>
          <w:i/>
          <w:color w:val="00695C"/>
          <w:sz w:val="18"/>
        </w:rPr>
        <w:t>doi:10.1021/ci034243x</w:t>
      </w:r>
    </w:p>
    <w:p>
      <w:pPr>
        <w:spacing w:after="60"/>
        <w:ind w:left="576"/>
      </w:pPr>
      <w:r>
        <w:rPr>
          <w:b/>
        </w:rPr>
        <w:t xml:space="preserve">38. </w:t>
      </w:r>
      <w:r>
        <w:t xml:space="preserve">Wishart, D. S.; Feunang, Y. D.; Guo, A. C.; Lo, E. J.; Marcu, A.; Grant, J. R.; Sajed, T.; Johnson, D.; Li, C.; Sayeeda, Z. et al. DrugBank 5.0: a major update to the DrugBank database for 2018. Nucleic Acids Res. 2018, 46 (D1), D1074–D1082. </w:t>
      </w:r>
      <w:r>
        <w:rPr>
          <w:i/>
          <w:color w:val="00695C"/>
          <w:sz w:val="18"/>
        </w:rPr>
        <w:t>doi:10.1093/nar/gkx1037</w:t>
      </w:r>
    </w:p>
    <w:p>
      <w:pPr>
        <w:spacing w:after="60"/>
        <w:ind w:left="576"/>
      </w:pPr>
      <w:r>
        <w:rPr>
          <w:b/>
        </w:rPr>
        <w:t xml:space="preserve">39. </w:t>
      </w:r>
      <w:r>
        <w:t xml:space="preserve">Lundberg, S. M.; Lee, S.-I. A unified approach to interpreting model predictions. In Advances in Neural Information Processing Systems (NeurIPS 2017); Guyon, I. et al., Eds.; Curran Associates, Inc.: Red Hook, NY, 2017; Vol. 30, pp 4765–4774. </w:t>
      </w:r>
      <w:r>
        <w:rPr>
          <w:i/>
          <w:color w:val="00695C"/>
          <w:sz w:val="18"/>
        </w:rPr>
        <w:t>doi:10.48550/arXiv.1705.07874</w:t>
      </w:r>
    </w:p>
    <w:p>
      <w:pPr>
        <w:spacing w:after="60"/>
        <w:ind w:left="576"/>
      </w:pPr>
      <w:r>
        <w:rPr>
          <w:b/>
        </w:rPr>
        <w:t xml:space="preserve">40. </w:t>
      </w:r>
      <w:r>
        <w:t xml:space="preserve">Chen, T.; Guestrin, C. XGBoost: A scalable tree boosting system. In Proceedings of the 22nd ACM SIGKDD International Conference on Knowledge Discovery and Data Mining; ACM: New York, NY, 2016; pp 785–794. </w:t>
      </w:r>
      <w:r>
        <w:rPr>
          <w:i/>
          <w:color w:val="00695C"/>
          <w:sz w:val="18"/>
        </w:rPr>
        <w:t>doi:10.1145/2939672.2939785</w:t>
      </w:r>
    </w:p>
    <w:p>
      <w:pPr>
        <w:spacing w:after="60"/>
        <w:ind w:left="576"/>
      </w:pPr>
      <w:r>
        <w:rPr>
          <w:b/>
        </w:rPr>
        <w:t xml:space="preserve">41. </w:t>
      </w:r>
      <w:r>
        <w:t xml:space="preserve">Geurts, P.; Ernst, D.; Wehenkel, L. Extremely randomized trees. Mach. Learn. 2006, 63 (1), 3–42. </w:t>
      </w:r>
      <w:r>
        <w:rPr>
          <w:i/>
          <w:color w:val="00695C"/>
          <w:sz w:val="18"/>
        </w:rPr>
        <w:t>doi:10.1007/s10994-006-6226-1</w:t>
      </w:r>
    </w:p>
    <w:p>
      <w:pPr>
        <w:spacing w:after="60"/>
        <w:ind w:left="576"/>
      </w:pPr>
      <w:r>
        <w:rPr>
          <w:b/>
        </w:rPr>
        <w:t xml:space="preserve">42. </w:t>
      </w:r>
      <w:r>
        <w:t xml:space="preserve">OECD. Guidance Document on the Validation of (Quantitative) Structure-Activity Relationship [(Q)SAR] Models. OECD Series on Testing and Assessment, No. 69; OECD Publishing: Paris, France, 2007. </w:t>
      </w:r>
      <w:r>
        <w:rPr>
          <w:i/>
          <w:color w:val="00695C"/>
          <w:sz w:val="18"/>
        </w:rPr>
        <w:t>doi:10.1787/9789264085442-en</w:t>
      </w:r>
    </w:p>
    <w:p>
      <w:pPr>
        <w:spacing w:after="60"/>
        <w:ind w:left="576"/>
      </w:pPr>
      <w:r>
        <w:rPr>
          <w:b/>
        </w:rPr>
        <w:t xml:space="preserve">43. </w:t>
      </w:r>
      <w:r>
        <w:t xml:space="preserve">Gramatica, P. Principles of QSAR models validation: internal and external. QSAR Comb. Sci. 2007, 26 (5), 694–701. </w:t>
      </w:r>
      <w:r>
        <w:rPr>
          <w:i/>
          <w:color w:val="00695C"/>
          <w:sz w:val="18"/>
        </w:rPr>
        <w:t>doi:10.1002/qsar.200610151</w:t>
      </w:r>
    </w:p>
    <w:p>
      <w:pPr>
        <w:spacing w:after="60"/>
        <w:ind w:left="576"/>
      </w:pPr>
      <w:r>
        <w:rPr>
          <w:b/>
        </w:rPr>
        <w:t xml:space="preserve">44. </w:t>
      </w:r>
      <w:r>
        <w:t xml:space="preserve">Rodríguez-Pérez, R.; Bajorath, J. Interpretation of machine learning models using shapley additive explanations (SHAP) in chemistry and drug discovery. J. Med. Chem. 2020, 63 (16), 8677–8688. </w:t>
      </w:r>
      <w:r>
        <w:rPr>
          <w:i/>
          <w:color w:val="00695C"/>
          <w:sz w:val="18"/>
        </w:rPr>
        <w:t>doi:10.1021/acs.jmedchem.9b01101</w:t>
      </w:r>
    </w:p>
    <w:p>
      <w:pPr>
        <w:spacing w:after="60"/>
        <w:ind w:left="576"/>
      </w:pPr>
      <w:r>
        <w:rPr>
          <w:b/>
        </w:rPr>
        <w:t xml:space="preserve">45. </w:t>
      </w:r>
      <w:r>
        <w:t xml:space="preserve">Tropsha, A. Best practices for QSAR model development, validation, and exploitation. Mol. Inf. 2010, 29 (6-7), 476–488. </w:t>
      </w:r>
      <w:r>
        <w:rPr>
          <w:i/>
          <w:color w:val="00695C"/>
          <w:sz w:val="18"/>
        </w:rPr>
        <w:t>doi:10.1002/minf.201000061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