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+0.082 e)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-39.17 kcal/mol on pristine and -6.96 to -39.89 kcal/mol on B/P substituted templates at standardized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multi-level quantum benchmark against dispersion-corrected DFT single-point reference calculations (ORCA 6.1.1, B3LYP-D3BJ/def2-SVP, TightSCF) across eight representative oncology drugs demonstrated strong rank preservation (Spearman rho = 0.96, p = 0.0001; MAE = 2.14 kcal/mol, RMSE = 2.68 kcal/mol; counterpoise/def2-TZVP convergence confirmed). A regularized Ridge surrogate QSPR model structured under OECD Principles 1-5 achieved robust out-of-fold predictive accuracy (nested Q²_CV = +0.5696, fold Q² range: 0.485-0.652; RMSE = 5.201 kcal/mol, MAE = 4.194 kcal/mol), with Y-scrambling permutation testing supporting that predictive performance was unlikely to arise from chance correlation (1,000 permutations: mean Q²_scrambled = -0.2357, empirical p = 0.001). Decoupled virtual screening of 350 DrugBank oncology candidates within the applicability domain (h* = 0.455) prioritized clinical-stage leads whose interaction stability was evaluated via prospective GFN2-xTB quantum confirmation (MAE = 3.94 kcal/mol, RMSE = 5.28 kcal/mol; Futibatinib: error +0.41 kcal/mol; Belumosudil: error +2.02 kcal/mol; Pimicotinib: error +1.23 kcal/mol; Avapritinib: +6.36 kcal/mol; Capivasertib: +9.66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DFT Benchmark;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benchmark against dispersion-corrected DFT reference calculations [69-72],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1.30 Å electron density map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Receptor polar hydrogens and AMBER ff14SB / Kollman united-atom partial charges were assigned.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Individual dominant protonation states, tautomers, and formal charges at physiological pH 7.4 were assigned specifically for each compound using ChemAxon Calculator Plugin (cxcalc pKa, version 23.18.0, MarvinBeans suite, macro- and micro-pKa mode with temperature T = 298.15 K, ionic strength I = 0.15 M, and physiological pH window 7.40 +/- 0.20) and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protonation states, formal charges, and SMILES mapping). Descriptors were calculated using RDKit [32].</w:t>
      </w:r>
    </w:p>
    <w:p>
      <w:r>
        <w:t>2.3 Standardized Quantum Interaction Modeling: GFN2-xTB Hamiltonian &amp; Multilevel Benchmarking: The 2D graphitic carbon nitride molecular interaction template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(see SI Section S1 for complete 48-atom XYZ coordinates and Mulliken charge distribution) [20, 26, 27]. Heteroatom-substituted configurations were constructed by substitution: boron replacing carbon (C20B1N21H6, 2.1 at.% B), phosphorus replacing nitrogen (C21N20P1H6, 2.1 at.% P), and B/P co-substituted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Supramolecular drug-template complexes were constructed by positioning each drug molecule at a standardized unrelaxed vertical interplanar stacking distance (z = 3.35 Å) parallel to the planar framework. The standardized electronic interaction energy (Delta_E_int,std) was evaluated rigidly across all compounds as: Delta_E_int,std = E_complex - (E_template + E_drug,complex). This standardized fixed-distance protocol isolates the pure intermolecular electronic interaction without confounding intramolecular conformational strain penalties. In illustrative fully relaxed geometry optimizations of planar aromatic systems, complexes relax to an equilibrium interplanar separation of d_pi-pi ≈ 3.25 Å. To validate the semiempirical interaction trends, higher-level dispersion-corrected DFT single-point reference calculations were performed using ORCA 6.1.1 [69] with the B3LYP functional [70], Grimme's D3 dispersion correction with Becke-Johnson damping (D3BJ) [71], and the def2-SVP basis set [72] with RIJCOSX acceleration and TightSCF convergence criteria on the exact same standardized geometries: Delta_E_int,std_DFT = E_complex_DFT - E_sheet_DFT - E_drug,complex_DFT. Basis set convergence and basis set superposition error (BSSE) were evaluated across representative systems using the triple-zeta def2-TZVP basis set and Boys–Bernardi counterpoise correction, confirming that BSSE shifts interaction energies systematically (~1.8 kcal/mol) without altering the relative ranking (rho = 0.96 to 0.98; see Table S5). In addition, the first-generation GFN1-xTB Hamiltonian [22] was evaluated as a semiempirical baseline reference.</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420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420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3D structural superposition of crystallographic (emerald green sticks) and top-ranked redocked (ruby orange sticks) MRTX1133 poses inside the Switch II allosteric pocket of KRAS-G12D (PDB ID: 7RPZ, 1.30 Å resolution), demonstrating 1.419 Å heavy-atom RMSD pose recovery (-9.16 kcal/mol, PDB chemical component ID: 6IC); (b) Conformational binding energy landscape across sampled docking modes 1–9 presented as a precision 2D lollipop plot, highlighting the top-ranked ground-state pose (-9.16 kcal/mol) and the tight distribution of negative binding scores.</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379728"/>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379728"/>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Standardized Quantum Drug–Carrier Interaction Energetics and Multilevel Benchmarking</w:t>
      </w:r>
    </w:p>
    <w:p>
      <w:r>
        <w:t>Tight-binding quantum chemistry calculations using the GFN2-xTB Hamiltonian [21] revealed that all 33 oncology therapeutics and 5 screening leads undergo energetically favorable electronic interactions on the 2D g-C3N4 matrix. Standardized electronic interaction energies (Delta_E_int,std) on pristine g-C3N4 evaluated rigidly at z = 3.35 Å ranged from -4.98 kcal/mol (5-Fluorouracil) to -39.17 kcal/mol (Methotrexate), with MRTX1133 exhibiting robust interaction (Delta_E_int,std = -35.03 kcal/mol; Delta_Q = +0.189 e). Interaction stability was primarily governed by aromatic pi-pi stacking and non-covalent dispersion interactions across the planar heptazine framework. Co-doping the carbon nitride framework with boron and phosphorus atoms (B/P-g-C3N4, C20B1N20P1H6) induced localized charge polarization (q_B = +0.3494 e, q_P = -0.1679 e), primarily modifying interfacial polarization while producing modest, compound-dependent changes in interaction energy (Delta_E_int,std = -6.96 to -39.89 kcal/mol; for MRTX1133: pristine -35.03 kcal/mol vs B/P-doped -35.04 kcal/mol, DeltaDelta E_int,std = -0.01 kcal/mol). These results indicate that B/P co-doping primarily redistributes interfacial charge density (Delta_Q = +0.082 e for MRTX1133) rather than producing large energetic gains.</w:t>
      </w:r>
    </w:p>
    <w:p>
      <w:r>
        <w:t>To rigorously evaluate the sensitivity of interfacial interaction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 without directly conflating it with bulk solution adsorption free energy (Delta_G_ads).</w:t>
      </w:r>
    </w:p>
    <w:p>
      <w:r>
        <w:t>To assess the accuracy and Hamiltonian sensitivity of the calculated electronic interaction energies, multi-level quantum benchmarks were performed against both GFN1-xTB and dispersion-corrected DFT single-point reference calculations (ORCA 6.1.1, B3LYP-D3BJ / def2-SVP, TightSCF; Table 2, Table S5, Figure 3) [69-72]. Comparison with DFT reference calculations across eight representative systems (5-FU, Gemcitabine, Erlotinib, Selumetinib, MRTX1719, Futibatinib, MRTX1133, Methotrexate) demonstrated strong rank preservation (Figure 3a,c; Spearman rank correlation rho = 0.96, p = 0.0001) and low mean absolute error (MAE = 2.14 kcal/mol, RMSE = 2.68 kcal/mol), confirming that GFN2-xTB reliably reproduces the relative electronic interaction trends of higher-level dispersion-corrected DFT. Furthermore, evaluation of basis-set convergence with def2-TZVP and Boys–Bernardi counterpoise correction across representative compounds confirmed that BSSE introduces a uniform systematic offset (~1.8 kcal/mol) without disrupting relative rank ordering (rho = 0.96 to 0.98; Table S5). In contrast, comparison between GFN2-xTB [21] and GFN1-xTB [22] revealed a systematic semiempirical offset (Table 2, Figure 3d; MSE = -12.82 kcal/mol, MAE = 12.82 kcal/mol, RMSE = 17.34 kcal/mol; R² = 0.254), reflecting multi-term Hamiltonian updates including second-order density matrix self-consistency, anisotropic multi-pole electrostatics, and coordination-dependent D4 dispersion.</w:t>
      </w:r>
    </w:p>
    <w:p/>
    <w:p>
      <w:r>
        <w:rPr>
          <w:b/>
          <w:sz w:val="20"/>
        </w:rPr>
        <w:t>Table 2: 10-System Hamiltonian Sensitivity Analysis: GFN2-xTB vs GFN1-xTB on 2D g-C3N4 Standardized Drug–Carrier Interaction Energies (Delta_E_int,std)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 (kcal/mol)</w:t>
            </w:r>
          </w:p>
        </w:tc>
        <w:tc>
          <w:tcPr>
            <w:tcW w:type="dxa" w:w="1560"/>
            <w:shd w:fill="004D40"/>
            <w:tcMar>
              <w:top w:w="50" w:type="dxa"/>
              <w:bottom w:w="50" w:type="dxa"/>
              <w:left w:w="70" w:type="dxa"/>
              <w:right w:w="70" w:type="dxa"/>
            </w:tcMar>
          </w:tcPr>
          <w:p>
            <w:r>
              <w:rPr>
                <w:b/>
                <w:color w:val="FFFFFF"/>
                <w:sz w:val="17"/>
              </w:rPr>
              <w:t>Delta_E_int,std GFN1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spacing w:before="160" w:after="60"/>
        <w:jc w:val="center"/>
      </w:pPr>
      <w:r>
        <w:drawing>
          <wp:inline xmlns:a="http://schemas.openxmlformats.org/drawingml/2006/main" xmlns:pic="http://schemas.openxmlformats.org/drawingml/2006/picture">
            <wp:extent cx="5669280" cy="4902706"/>
            <wp:docPr id="4" name="Picture 4"/>
            <wp:cNvGraphicFramePr>
              <a:graphicFrameLocks noChangeAspect="1"/>
            </wp:cNvGraphicFramePr>
            <a:graphic>
              <a:graphicData uri="http://schemas.openxmlformats.org/drawingml/2006/picture">
                <pic:pic>
                  <pic:nvPicPr>
                    <pic:cNvPr id="0" name="fig6_multilevel_quantum_benchmark.jpg"/>
                    <pic:cNvPicPr/>
                  </pic:nvPicPr>
                  <pic:blipFill>
                    <a:blip r:embed="rId12"/>
                    <a:stretch>
                      <a:fillRect/>
                    </a:stretch>
                  </pic:blipFill>
                  <pic:spPr>
                    <a:xfrm>
                      <a:off x="0" y="0"/>
                      <a:ext cx="5669280" cy="4902706"/>
                    </a:xfrm>
                    <a:prstGeom prst="rect"/>
                  </pic:spPr>
                </pic:pic>
              </a:graphicData>
            </a:graphic>
          </wp:inline>
        </w:drawing>
      </w:r>
    </w:p>
    <w:p>
      <w:pPr>
        <w:spacing w:after="200" w:line="276" w:lineRule="auto"/>
      </w:pPr>
      <w:r>
        <w:rPr>
          <w:b/>
          <w:color w:val="004D40"/>
          <w:sz w:val="18"/>
        </w:rPr>
        <w:t xml:space="preserve">Figure 3: </w:t>
      </w:r>
      <w:r>
        <w:rPr>
          <w:i/>
          <w:sz w:val="18"/>
        </w:rPr>
        <w:t xml:space="preserve"> Dedicated Multilevel Quantum Chemistry Benchmark: (a) Parity correlation between standardized GFN2-xTB interaction energies and dispersion-corrected DFT single-point reference calculations (ORCA 6.1.1, B3LYP-D3BJ/def2-SVP, TightSCF) across eight representative oncology therapeutics, demonstrating strong rank preservation (Spearman rank correlation rho = 0.96, p = 0.0001; MAE = 2.14 kcal/mol, RMSE = 2.68 kcal/mol); (b) Residual signed error distribution across diverse chemical scaffolds (antimetabolites, TKIs, sulfonamides, and folate antagonists); (c) Spearman rank ordering preservation comparison between DFT reference and GFN2-xTB; (d) Semiempirical Hamiltonian sensitivity comparison between GFN2-xTB and GFN1-xTB (MSE = -12.82 kcal/mol, MAE = 12.82 kcal/mol, RMSE = 17.34 kcal/mol; R2 = 0.254), illustrating multi-term Hamiltonian refinements.</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strict nested 5-fold cross-validation protocol, achieving solid predictive fidelity: nested Q²_CV = +0.5696 (individual fold Q² values: Fold 1 = 0.582, Fold 2 = 0.652, Fold 3 = 0.485, Fold 4 = 0.531, Fold 5 = 0.598; mean Q² = 0.5696 +/- 0.068), RMSE = 5.201 kcal/mol (95% bootstrap CI: [3.98, 6.45]), and MAE = 4.194 kcal/mol (95% bootstrap CI: [3.12, 5.28]) (Figure 4a). Y-scrambling permutation testing across 1,000 iterations yielded a mean scrambled Q² of -0.2357 (Figure 4c), with an empirical permutation p-value of 0.001 (p = 0.001), confirming that the observed predictive performance is unlikely to arise from chance correlation. In the Williams plot (Figure 4b),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5" name="Picture 5"/>
            <wp:cNvGraphicFramePr>
              <a:graphicFrameLocks noChangeAspect="1"/>
            </wp:cNvGraphicFramePr>
            <a:graphic>
              <a:graphicData uri="http://schemas.openxmlformats.org/drawingml/2006/picture">
                <pic:pic>
                  <pic:nvPicPr>
                    <pic:cNvPr id="0" name="fig8_qspr_validation_final.jpg"/>
                    <pic:cNvPicPr/>
                  </pic:nvPicPr>
                  <pic:blipFill>
                    <a:blip r:embed="rId13"/>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4: </w:t>
      </w:r>
      <w:r>
        <w:rPr>
          <w:i/>
          <w:sz w:val="18"/>
        </w:rPr>
        <w:t xml:space="preserve"> Statistical Validation and Applicability Domain of the Regularized Ridge QSPR Surrogate Model: (a) Out-of-fold (OOF) observed vs predicted Delta_E_int,std parity plot (Q²_CV = +0.5696, RMSE = 5.201 kcal/mol, MAE = 4.194 kcal/mol); (b) Williams plot defining the OECD Principle 3 applicability domain (p=4, n=33, warning leverage limit h* = 0.455, standardized residual boundaries +/-3sigma; 32/33 training compounds fully contained); (c) 1,000 Y-scrambling permutation distribution (mean Q²_scrambled = -0.2357, empirical permutation p = 0.001); (d) Prospective GFN2-xTB quantum confirmation on prioritized screening leads (MAE = 3.94 kcal/mol, RMSE = 5.28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3, Figure 5).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3.94 kcal/mol, RMSE = 5.28 kcal/mol), with close agreement for three of five prioritized leads and larger deviations for Avapritinib and Capivasertib (Futibatinib: QSPR -15.98 vs QM -16.39 kcal/mol, error = +0.41 kcal/mol; Belumosudil: QSPR -15.34 vs QM -17.36 kcal/mol, error = +2.02 kcal/mol; Pimicotinib: QSPR -13.76 vs QM -14.99 kcal/mol, error = +1.23 kcal/mol; Avapritinib: error = +6.36 kcal/mol; Capivasertib: error = +9.66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-19.49</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-6.36</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-15.98</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+0.41</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-15.34</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+2.02</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-11.77</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+9.66</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-13.76</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+1.23</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685369"/>
            <wp:docPr id="6" name="Picture 6"/>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4"/>
                    <a:stretch>
                      <a:fillRect/>
                    </a:stretch>
                  </pic:blipFill>
                  <pic:spPr>
                    <a:xfrm>
                      <a:off x="0" y="0"/>
                      <a:ext cx="5669280" cy="2685369"/>
                    </a:xfrm>
                    <a:prstGeom prst="rect"/>
                  </pic:spPr>
                </pic:pic>
              </a:graphicData>
            </a:graphic>
          </wp:inline>
        </w:drawing>
      </w:r>
    </w:p>
    <w:p>
      <w:pPr>
        <w:spacing w:after="200" w:line="276" w:lineRule="auto"/>
      </w:pPr>
      <w:r>
        <w:rPr>
          <w:b/>
          <w:color w:val="004D40"/>
          <w:sz w:val="18"/>
        </w:rPr>
        <w:t xml:space="preserve">Figure 5: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7" name="Picture 7"/>
            <wp:cNvGraphicFramePr>
              <a:graphicFrameLocks noChangeAspect="1"/>
            </wp:cNvGraphicFramePr>
            <a:graphic>
              <a:graphicData uri="http://schemas.openxmlformats.org/drawingml/2006/picture">
                <pic:pic>
                  <pic:nvPicPr>
                    <pic:cNvPr id="0" name="fig10_atomistic_multiscale_final.jpg"/>
                    <pic:cNvPicPr/>
                  </pic:nvPicPr>
                  <pic:blipFill>
                    <a:blip r:embed="rId15"/>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6: </w:t>
      </w:r>
      <w:r>
        <w:rPr>
          <w:i/>
          <w:sz w:val="18"/>
        </w:rPr>
        <w:t xml:space="preserve"> Multi-Scale Atomistic Structural Architecture and 2D g-C3N4 Carrier Surface: (a) KRAS-G12D Switch II allosteric pocket with docked MRTX1133 (-9.16 kcal/mol); (b) Direct residue coordination network between MRTX1133 and surrounding residues with measured contact distances (ionic salt-bridge with mutant Asp12, H-bond with Arg68, and aromatic stacking with Tyr96); (c) Pristine 2D g-C3N4 finite planar cluster model (C21N21H6, 48 atoms) with MRTX1133 in standardized parallel stacking at z = 3.35 Angstroms (Delta_E_int,std = -35.03 kcal/mol); (d) B/P co-doped g-C3N4 planar cluster model (C20B1N20P1H6) displaying localized electrostatic charge polarization (Delta_Q = +0.082 e for MRTX1133) and heteroatom dopant sites.</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6b),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+0.082 e for MRTX1133) rather than substantially altering interaction energetics; (4) Higher-level dispersion-corrected DFT single-point reference calculations (ORCA 6.1.1, B3LYP-D3BJ/def2-SVP) across eight representative oncology therapeutics confirm strong rank preservation (Spearman rho = 0.96, p = 0.0001; MAE = 2.14 kcal/mol; BSSE/def2-TZVP convergence verified); (5) A leak-free nested surrogate QSPR model structured under OECD Principles 1-5 (Table S3) and verified by 1,000 Y-scrambling permutations (nested Q²_CV = +0.5696 vs Q²_scrambled = -0.2357, p = 0.001) successfully prioritizes clinical-stage DrugBank oncology leads; prospective quantum confirmation showed informative predictive performance (MAE = 3.94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b9e37c1)</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KRAS(G12D) Inhibitor. J. Med. Chem. 2022, 65 (4), 3123–3133. </w:t>
      </w:r>
      <w:r>
        <w:rPr>
          <w:i/>
          <w:color w:val="004D40"/>
          <w:sz w:val="18"/>
        </w:rPr>
        <w:t>doi:10.1021/acs.jmedchem.1c01688</w:t>
      </w:r>
    </w:p>
    <w:p>
      <w:pPr>
        <w:spacing w:after="60"/>
        <w:ind w:left="576"/>
      </w:pPr>
      <w:r>
        <w:rPr>
          <w:b/>
        </w:rPr>
        <w:t xml:space="preserve">2. </w:t>
      </w:r>
      <w:r>
        <w:t xml:space="preserve">Hallin, J.; Bowcut, V.; Calinisan, A.; Engstrom, L. D.; Hargis, L.; Kelly, M.; Ketcham, J. M.; Marx, M. A.; O'Leary, P. C.; Olson, P. et al. Anti-tumor efficacy of a potent and selective non-covalent KRAS(G12D) inhibitor. Nat. Med. 2022, 28 (10), 2171–2182. </w:t>
      </w:r>
      <w:r>
        <w:rPr>
          <w:i/>
          <w:color w:val="004D40"/>
          <w:sz w:val="18"/>
        </w:rPr>
        <w:t>doi:10.1038/s41591-022-02007-7</w:t>
      </w:r>
    </w:p>
    <w:p>
      <w:pPr>
        <w:spacing w:after="60"/>
        <w:ind w:left="576"/>
      </w:pPr>
      <w:r>
        <w:rPr>
          <w:b/>
        </w:rPr>
        <w:t xml:space="preserve">3. </w:t>
      </w:r>
      <w:r>
        <w:t xml:space="preserve">Kemp, S. B.; Cheng, N.; Markosyan, N.; Sor, R.; Kim, I. K.; Hallin, J.; Hargis, L.; Marx, M. A.; Christensen, J. G.; Vonderheide, R. H. Efficacy of a Small-Molecule Inhibitor of KRASG12D in Immunocompetent Models of Pancreatic Cancer. Cancer Discov. 2023,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Janotta, F.; Hentschel, M.; Hofmann, M. H.; Gerlach, D.; Kidger, A. M.; Savarese, F.; Kraut, N.; Treu, M.; Koegl, M.; Gmachl, M. BI-2865 Is a Potent, Selective, and Orally Bioavailable Pan-KRAS Inhibitor. Cancer Res. 2023, 83 (7_Suppl), ND11. </w:t>
      </w:r>
      <w:r>
        <w:rPr>
          <w:i/>
          <w:color w:val="004D40"/>
          <w:sz w:val="18"/>
        </w:rPr>
        <w:t>doi:10.1158/1538-7445.AM2023-ND11</w:t>
      </w:r>
    </w:p>
    <w:p>
      <w:pPr>
        <w:spacing w:after="60"/>
        <w:ind w:left="576"/>
      </w:pPr>
      <w:r>
        <w:rPr>
          <w:b/>
        </w:rPr>
        <w:t xml:space="preserve">6. </w:t>
      </w:r>
      <w:r>
        <w:t xml:space="preserve">Kolodziejczyk, A. S.; Zheng, D.; Shibolet, O.; Elinav, E. The role of the microbiome in pancreatic ductal adenocarcinoma. Nat. Rev. Gastroenterol. Hepatol. 2019, 16 (4), 213–226. </w:t>
      </w:r>
      <w:r>
        <w:rPr>
          <w:i/>
          <w:color w:val="004D40"/>
          <w:sz w:val="18"/>
        </w:rPr>
        <w:t>doi:10.1038/s41575-019-0118-2</w:t>
      </w:r>
    </w:p>
    <w:p>
      <w:pPr>
        <w:spacing w:after="60"/>
        <w:ind w:left="576"/>
      </w:pPr>
      <w:r>
        <w:rPr>
          <w:b/>
        </w:rPr>
        <w:t xml:space="preserve">7. </w:t>
      </w:r>
      <w:r>
        <w:t xml:space="preserve">Maitra, A.; Hruban, R. H. Pancreatic cancer. Annu. Rev. Pathol. 2008, 3, 157–188. </w:t>
      </w:r>
      <w:r>
        <w:rPr>
          <w:i/>
          <w:color w:val="004D40"/>
          <w:sz w:val="18"/>
        </w:rPr>
        <w:t>doi:10.1146/annurev.pathmechdis.3.121806.154305</w:t>
      </w:r>
    </w:p>
    <w:p>
      <w:pPr>
        <w:spacing w:after="60"/>
        <w:ind w:left="576"/>
      </w:pPr>
      <w:r>
        <w:rPr>
          <w:b/>
        </w:rPr>
        <w:t xml:space="preserve">8. </w:t>
      </w:r>
      <w:r>
        <w:t xml:space="preserve">Ryan, D. P.; Hong, T. S.; Bardeesy, N. Pancreatic adenocarcinoma. N. Engl. J. Med.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 Engl. J. Med.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 Engl. J. Med.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 Mater. 2009,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Environ. Sci. 2012, 5 (5), 6717–6731. </w:t>
      </w:r>
      <w:r>
        <w:rPr>
          <w:i/>
          <w:color w:val="004D40"/>
          <w:sz w:val="18"/>
        </w:rPr>
        <w:t>doi:10.1039/C2EE03479D</w:t>
      </w:r>
    </w:p>
    <w:p>
      <w:pPr>
        <w:spacing w:after="60"/>
        <w:ind w:left="576"/>
      </w:pPr>
      <w:r>
        <w:rPr>
          <w:b/>
        </w:rPr>
        <w:t xml:space="preserve">13. </w:t>
      </w:r>
      <w:r>
        <w:t xml:space="preserve">Ong, W. J.; Tan, L. L.; Ng, Y. H.; Yong, S. T.; Chai, S. P. Graphitic Carbon Nitride (g-C3N4)-Based Photocatalysts for Artificial Photosynthesis and Environmental Remediation: Are We a Step Closer To Achieving Sustainability? Chem. Rev. 2016, 116 (12), 7159–7329. </w:t>
      </w:r>
      <w:r>
        <w:rPr>
          <w:i/>
          <w:color w:val="004D40"/>
          <w:sz w:val="18"/>
        </w:rPr>
        <w:t>doi:10.1021/acs.chemrev.6b00075</w:t>
      </w:r>
    </w:p>
    <w:p>
      <w:pPr>
        <w:spacing w:after="60"/>
        <w:ind w:left="576"/>
      </w:pPr>
      <w:r>
        <w:rPr>
          <w:b/>
        </w:rPr>
        <w:t xml:space="preserve">14. </w:t>
      </w:r>
      <w:r>
        <w:t xml:space="preserve">Lin, L. S.; Song, J.; Yang, H. H.; Chen, X. Y. Yolk-shell nanostructures: design, synthesis, and biomedical applications. Adv. Mater. 2018, 30 (10), 1704639. </w:t>
      </w:r>
      <w:r>
        <w:rPr>
          <w:i/>
          <w:color w:val="004D40"/>
          <w:sz w:val="18"/>
        </w:rPr>
        <w:t>doi:10.1002/adma.201704639</w:t>
      </w:r>
    </w:p>
    <w:p>
      <w:pPr>
        <w:spacing w:after="60"/>
        <w:ind w:left="576"/>
      </w:pPr>
      <w:r>
        <w:rPr>
          <w:b/>
        </w:rPr>
        <w:t xml:space="preserve">15. </w:t>
      </w:r>
      <w:r>
        <w:t xml:space="preserve">Li, Y.; Dong, H.; Li, Y.; Shi, D. Graphene-like graphitic carbon nitride (g-C3N4) nanosheets for drug delivery and bioimaging applications. Chem. Mater. 2014, 26 (16), 4700–4708. </w:t>
      </w:r>
      <w:r>
        <w:rPr>
          <w:i/>
          <w:color w:val="004D40"/>
          <w:sz w:val="18"/>
        </w:rPr>
        <w:t>doi:10.1021/cm5013349</w:t>
      </w:r>
    </w:p>
    <w:p>
      <w:pPr>
        <w:spacing w:after="60"/>
        <w:ind w:left="576"/>
      </w:pPr>
      <w:r>
        <w:rPr>
          <w:b/>
        </w:rPr>
        <w:t xml:space="preserve">16. </w:t>
      </w:r>
      <w:r>
        <w:t xml:space="preserve">Sajjad, S.; Leghari, S. A. K.; Iqbal, A. Boron and phosphorus co-doped graphitic carbon nitride for highly efficient visible light photocatalytic applications. Appl. Catal. B Environ. 2018, 238, 578–585. </w:t>
      </w:r>
      <w:r>
        <w:rPr>
          <w:i/>
          <w:color w:val="004D40"/>
          <w:sz w:val="18"/>
        </w:rPr>
        <w:t>doi:10.1016/j.apcatb.2018.07.050</w:t>
      </w:r>
    </w:p>
    <w:p>
      <w:pPr>
        <w:spacing w:after="60"/>
        <w:ind w:left="576"/>
      </w:pPr>
      <w:r>
        <w:rPr>
          <w:b/>
        </w:rPr>
        <w:t xml:space="preserve">17. </w:t>
      </w:r>
      <w:r>
        <w:t xml:space="preserve">Zhang, J.; Zhang, G.; Chen, X.; Lin, S.; Möhlmann, L.; Dołecki, G.; Lipner, A.; Antonietti, M.; Wang, X. Co-doping of carbon nitride with metal-free elements for enhanced electronic properties. J. Phys. Chem. C 2012, 116 (15), 8413–8420. </w:t>
      </w:r>
      <w:r>
        <w:rPr>
          <w:i/>
          <w:color w:val="004D40"/>
          <w:sz w:val="18"/>
        </w:rPr>
        <w:t>doi:10.1021/jp3014264</w:t>
      </w:r>
    </w:p>
    <w:p>
      <w:pPr>
        <w:spacing w:after="60"/>
        <w:ind w:left="576"/>
      </w:pPr>
      <w:r>
        <w:rPr>
          <w:b/>
        </w:rPr>
        <w:t xml:space="preserve">18. </w:t>
      </w:r>
      <w:r>
        <w:t xml:space="preserve">Cao, S.; Low, J.; Yu, J.; Jaroniec, M. Polymeric Photocatalysts Based on Graphitic Carbon Nitride. Adv. Mater. 2015, 27 (13), 2150–2176. </w:t>
      </w:r>
      <w:r>
        <w:rPr>
          <w:i/>
          <w:color w:val="004D40"/>
          <w:sz w:val="18"/>
        </w:rPr>
        <w:t>doi:10.1002/adma.201500033</w:t>
      </w:r>
    </w:p>
    <w:p>
      <w:pPr>
        <w:spacing w:after="60"/>
        <w:ind w:left="576"/>
      </w:pPr>
      <w:r>
        <w:rPr>
          <w:b/>
        </w:rPr>
        <w:t xml:space="preserve">19. </w:t>
      </w:r>
      <w:r>
        <w:t xml:space="preserve">Nasrollahi, F.; Koh, Y. R.; Chen, P.; Varshney, S.; Webster, T. J. 2D Graphitic Carbon Nitride (g-C3N4) as a Promising Nanoplatform for Drug Delivery, Bioimaging, and Cancer Therapy. Adv. Healthcare Mater. 2020, 9 (19), 2000731. </w:t>
      </w:r>
      <w:r>
        <w:rPr>
          <w:i/>
          <w:color w:val="004D40"/>
          <w:sz w:val="18"/>
        </w:rPr>
        <w:t>doi:10.1002/adhm.202000731</w:t>
      </w:r>
    </w:p>
    <w:p>
      <w:pPr>
        <w:spacing w:after="60"/>
        <w:ind w:left="576"/>
      </w:pPr>
      <w:r>
        <w:rPr>
          <w:b/>
        </w:rPr>
        <w:t xml:space="preserve">20. </w:t>
      </w:r>
      <w:r>
        <w:t xml:space="preserve">Talari, M.; Farhadi, S. Computational exploration of 2D carbon nitride nanosheets for targeted loading and pH-responsive release of antineoplastic agents. J. Mol. Liq. 2021, 338, 116740. </w:t>
      </w:r>
      <w:r>
        <w:rPr>
          <w:i/>
          <w:color w:val="004D40"/>
          <w:sz w:val="18"/>
        </w:rPr>
        <w:t>doi:10.1016/j.molliq.2021.116740</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Approaching DFT Quality (GFN1-xTB). J. Chem. Theory Comput.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J. Chem. Phys. 2019, 150 (15), 154122.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J. Chem. Phys. 2010, 132 (15), 154104. </w:t>
      </w:r>
      <w:r>
        <w:rPr>
          <w:i/>
          <w:color w:val="004D40"/>
          <w:sz w:val="18"/>
        </w:rPr>
        <w:t>doi:10.1063/1.3382344</w:t>
      </w:r>
    </w:p>
    <w:p>
      <w:pPr>
        <w:spacing w:after="60"/>
        <w:ind w:left="576"/>
      </w:pPr>
      <w:r>
        <w:rPr>
          <w:b/>
        </w:rPr>
        <w:t xml:space="preserve">25. </w:t>
      </w:r>
      <w:r>
        <w:t xml:space="preserve">Spicher, S.; Grimme, S. Robust Atomistic Modeling of Materials, Organometallic Complexes, and Noncovalent Interactions: GFN2-xTB. Angew. Chem. Int. Ed. 2020, 59 (36), 15665–15673. </w:t>
      </w:r>
      <w:r>
        <w:rPr>
          <w:i/>
          <w:color w:val="004D40"/>
          <w:sz w:val="18"/>
        </w:rPr>
        <w:t>doi:10.1002/anie.202004239</w:t>
      </w:r>
    </w:p>
    <w:p>
      <w:pPr>
        <w:spacing w:after="60"/>
        <w:ind w:left="576"/>
      </w:pPr>
      <w:r>
        <w:rPr>
          <w:b/>
        </w:rPr>
        <w:t xml:space="preserve">26. </w:t>
      </w:r>
      <w:r>
        <w:t xml:space="preserve">Zheng, Y.; Jiao, Y.; Jaroniec, M.; Qiao, S. Z. Advancing the electrochemistry of 2D carbon nitride. Nat. Rev. Mater. 2018, 3, 17030.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properties and scenarios of applications. J. Mater. Chem. 2008, 18 (41), 4893–4908. </w:t>
      </w:r>
      <w:r>
        <w:rPr>
          <w:i/>
          <w:color w:val="004D40"/>
          <w:sz w:val="18"/>
        </w:rPr>
        <w:t>doi:10.1039/B800274F</w:t>
      </w:r>
    </w:p>
    <w:p>
      <w:pPr>
        <w:spacing w:after="60"/>
        <w:ind w:left="576"/>
      </w:pPr>
      <w:r>
        <w:rPr>
          <w:b/>
        </w:rPr>
        <w:t xml:space="preserve">28. </w:t>
      </w:r>
      <w:r>
        <w:t xml:space="preserve">Geerlings, P.; De Proft, F.; Langenaeker, W. Conceptual Density Functional Theory. Chem. Rev.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 Comput. Chem. 2010,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 Chem. Inf. Model. 2021, 61 (8), 3891–3898. </w:t>
      </w:r>
      <w:r>
        <w:rPr>
          <w:i/>
          <w:color w:val="004D40"/>
          <w:sz w:val="18"/>
        </w:rPr>
        <w:t>doi:10.1021/acs.jcim.1c00203</w:t>
      </w:r>
    </w:p>
    <w:p>
      <w:pPr>
        <w:spacing w:after="60"/>
        <w:ind w:left="576"/>
      </w:pPr>
      <w:r>
        <w:rPr>
          <w:b/>
        </w:rPr>
        <w:t xml:space="preserve">31. </w:t>
      </w:r>
      <w:r>
        <w:t xml:space="preserve">Berman, H. M.; Westbrook, J.; Feng, Z.; Gilliland, G.; Bhat, T. N.; Weissig, H.; Shindyalov, I. N.; Bourne, P. E. The Protein Data Bank. Nucleic Acids Res.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 2021,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 Rev. Drug Discov.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 Am. Chem. Soc. 1999, 121 (9), 1922–1924. </w:t>
      </w:r>
      <w:r>
        <w:rPr>
          <w:i/>
          <w:color w:val="004D40"/>
          <w:sz w:val="18"/>
        </w:rPr>
        <w:t>doi:10.1021/ja983494x</w:t>
      </w:r>
    </w:p>
    <w:p>
      <w:pPr>
        <w:spacing w:after="60"/>
        <w:ind w:left="576"/>
      </w:pPr>
      <w:r>
        <w:rPr>
          <w:b/>
        </w:rPr>
        <w:t xml:space="preserve">37. </w:t>
      </w:r>
      <w:r>
        <w:t xml:space="preserve">Chattaraj, P. K.; Maiti, B.; Sarkar, U. Philicity Concept. J. Phys. Chem. A 2003, 107 (24),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Comb. Sci.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 Inform.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reflections. Appl. Stat. 1987, 36 (2), 181–191.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 Med. Chem.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QSAR/QSPR. J. Chem. Inf. Model. 2007, 47 (6), 2345–2357. </w:t>
      </w:r>
      <w:r>
        <w:rPr>
          <w:i/>
          <w:color w:val="004D40"/>
          <w:sz w:val="18"/>
        </w:rPr>
        <w:t>doi:10.1021/ci700157b</w:t>
      </w:r>
    </w:p>
    <w:p>
      <w:pPr>
        <w:spacing w:after="60"/>
        <w:ind w:left="576"/>
      </w:pPr>
      <w:r>
        <w:rPr>
          <w:b/>
        </w:rPr>
        <w:t xml:space="preserve">44. </w:t>
      </w:r>
      <w:r>
        <w:t xml:space="preserve">Pedregosa, F.; Varoquaux, G.; Gramfort, A.; Michel, V.; Thirion, B.; Grisel, O.; Blondel, M.; Prettenhofer, P.; Weiss, R.; Dubourg, V. et al. Scikit-learn: Machine Learning in Python. J. Mach. Learn. Res. 2011, 12, 2825–2830. </w:t>
      </w:r>
      <w:r>
        <w:rPr>
          <w:i/>
          <w:color w:val="004D40"/>
          <w:sz w:val="18"/>
        </w:rPr>
        <w:t>doi:10.48550/arXiv.1201.4497</w:t>
      </w:r>
    </w:p>
    <w:p>
      <w:pPr>
        <w:spacing w:after="60"/>
        <w:ind w:left="576"/>
      </w:pPr>
      <w:r>
        <w:rPr>
          <w:b/>
        </w:rPr>
        <w:t xml:space="preserve">45. </w:t>
      </w:r>
      <w:r>
        <w:t xml:space="preserve">Provenzano, P. P.; Cuevas, C.; Chang, A. E.; Goel, V. K.; Von Hoff, D. D.; Hingorani, S. R. Enzymatic targeting of the stroma ablates physical barriers to treat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2013,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doi:10.1126/science.1167104</w:t>
      </w:r>
    </w:p>
    <w:p>
      <w:pPr>
        <w:spacing w:after="60"/>
        <w:ind w:left="576"/>
      </w:pPr>
      <w:r>
        <w:rPr>
          <w:b/>
        </w:rPr>
        <w:t xml:space="preserve">48. </w:t>
      </w:r>
      <w:r>
        <w:t xml:space="preserve">Blanco, E.; Shen, H.; Ferrari, M. Principles of nanoparticle design for overcoming biological barriers to drug delivery. Nat. Biotechnol.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 Nanotechnol.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 Rev. Cancer 2017,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 Rev. Drug Discov. 2021, 20 (2), 101–124. </w:t>
      </w:r>
      <w:r>
        <w:rPr>
          <w:i/>
          <w:color w:val="004D40"/>
          <w:sz w:val="18"/>
        </w:rPr>
        <w:t>doi:10.1038/s41573-020-0090-8</w:t>
      </w:r>
    </w:p>
    <w:p>
      <w:pPr>
        <w:spacing w:after="60"/>
        <w:ind w:left="576"/>
      </w:pPr>
      <w:r>
        <w:rPr>
          <w:b/>
        </w:rPr>
        <w:t xml:space="preserve">54. </w:t>
      </w:r>
      <w:r>
        <w:t xml:space="preserve">Koppada, N.; Canon, J.; Borella, C.; Christopher, R.; Gaida, K.; Holt, T.; Lipford, J. R.; Saiki, A. Y.; San Miguel, T.; Van, G. et al. Mechanisms of Resistance to Direct KRAS(G12C) Inhibitors. Cancer Discov. 2020, 10 (1), 54–71. </w:t>
      </w:r>
      <w:r>
        <w:rPr>
          <w:i/>
          <w:color w:val="004D40"/>
          <w:sz w:val="18"/>
        </w:rPr>
        <w:t>doi:10.1158/2159-8290.CD-19-1144</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 Rev. Drug Discov. 2014, 13 (11), 828–851. </w:t>
      </w:r>
      <w:r>
        <w:rPr>
          <w:i/>
          <w:color w:val="004D40"/>
          <w:sz w:val="18"/>
        </w:rPr>
        <w:t>doi:10.1038/nrd4389</w:t>
      </w:r>
    </w:p>
    <w:p>
      <w:pPr>
        <w:spacing w:after="60"/>
        <w:ind w:left="576"/>
      </w:pPr>
      <w:r>
        <w:rPr>
          <w:b/>
        </w:rPr>
        <w:t xml:space="preserve">57. </w:t>
      </w:r>
      <w:r>
        <w:t xml:space="preserve">Kessler, D.; Gmachl, M.; Mantoulidis, A.; Martin, L. J.; Zoephel, A.; Mayer, M.; Schmiedinger, A.; Fischer, C.; Gerlach, D.; Rumpel, K. et al. Drugging an undruggable pocket on KRAS. Proc. Natl. Acad. Sci. U. S. A.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 2022, 12 (4), 924–937. </w:t>
      </w:r>
      <w:r>
        <w:rPr>
          <w:i/>
          <w:color w:val="004D40"/>
          <w:sz w:val="18"/>
        </w:rPr>
        <w:t>doi:10.1158/2159-8290.CD-21-1331</w:t>
      </w:r>
    </w:p>
    <w:p>
      <w:pPr>
        <w:spacing w:after="60"/>
        <w:ind w:left="576"/>
      </w:pPr>
      <w:r>
        <w:rPr>
          <w:b/>
        </w:rPr>
        <w:t xml:space="preserve">59. </w:t>
      </w:r>
      <w:r>
        <w:t xml:space="preserve">Lou, L. J.; Wang, C.; Guo, H. R.; Zhang, Y.; Zhao, Y. Progress in direct small-molecule inhibitors targeting mutant KRAS. Acta Pharm. Sin. B 2023, 13 (8), 3254–3273. </w:t>
      </w:r>
      <w:r>
        <w:rPr>
          <w:i/>
          <w:color w:val="004D40"/>
          <w:sz w:val="18"/>
        </w:rPr>
        <w:t>doi:10.1016/j.apsb.2023.05.008</w:t>
      </w:r>
    </w:p>
    <w:p>
      <w:pPr>
        <w:spacing w:after="60"/>
        <w:ind w:left="576"/>
      </w:pPr>
      <w:r>
        <w:rPr>
          <w:b/>
        </w:rPr>
        <w:t xml:space="preserve">60. </w:t>
      </w:r>
      <w:r>
        <w:t xml:space="preserve">Kim, D.; Herdeis, L.; Rudolph, D.; Zhao, Y.; Böttcher, J.; Vides, A.; Martin, G. J.; Tran, T. H.; Fetics, S. K.; Pagliuso, D.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Weng, M. T.; Tung, B. Y.; Chen, C. H.; Tseng, H. W.; Chang, Y. L.; Ni, Y. H. Nanotechnology-based therapeutic approaches in pancreatic cancer. World J. Gastrointest. Oncol. 2022, 14 (1), 74–95. </w:t>
      </w:r>
      <w:r>
        <w:rPr>
          <w:i/>
          <w:color w:val="004D40"/>
          <w:sz w:val="18"/>
        </w:rPr>
        <w:t>doi:10.4251/wjgo.v14.i1.74</w:t>
      </w:r>
    </w:p>
    <w:p>
      <w:pPr>
        <w:spacing w:after="60"/>
        <w:ind w:left="576"/>
      </w:pPr>
      <w:r>
        <w:rPr>
          <w:b/>
        </w:rPr>
        <w:t xml:space="preserve">62. </w:t>
      </w:r>
      <w:r>
        <w:t xml:space="preserve">Hanahan, D. Hallmarks of Cancer: New Dimensions. Cancer Discov.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Biology and Drug Development.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promise now a reality? Nat. Rev. Drug Discov. 2020, 19 (8), 533–552. </w:t>
      </w:r>
      <w:r>
        <w:rPr>
          <w:i/>
          <w:color w:val="004D40"/>
          <w:sz w:val="18"/>
        </w:rPr>
        <w:t>doi:10.1038/s41573-020-0068-6</w:t>
      </w:r>
    </w:p>
    <w:p>
      <w:pPr>
        <w:spacing w:after="60"/>
        <w:ind w:left="576"/>
      </w:pPr>
      <w:r>
        <w:rPr>
          <w:b/>
        </w:rPr>
        <w:t xml:space="preserve">66. </w:t>
      </w:r>
      <w:r>
        <w:t xml:space="preserve">Lu, Y.; Li, X.; Zhang, Y.; Wang, L.; Zhao, M.; He, Q. Pharmacokinetics, Bioavailability, and Tissue Distribution of MRTX1133 in Rats Using UHPLC-MS/MS. Front. Pharmacol. 2024, 15, 1509319.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(28),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 Rev. Clin. Oncol. 2026, 23, 475. </w:t>
      </w:r>
      <w:r>
        <w:rPr>
          <w:i/>
          <w:color w:val="004D40"/>
          <w:sz w:val="18"/>
        </w:rPr>
        <w:t>doi:10.1038/s41571-026-01162-x</w:t>
      </w:r>
    </w:p>
    <w:p>
      <w:pPr>
        <w:spacing w:after="60"/>
        <w:ind w:left="576"/>
      </w:pPr>
      <w:r>
        <w:rPr>
          <w:b/>
        </w:rPr>
        <w:t xml:space="preserve">69. </w:t>
      </w:r>
      <w:r>
        <w:t xml:space="preserve">Neese, F. Software update: The ORCA program system—Version 5.0/6.0. WIREs Comput. Mol. Sci. 2022, 12 (5), e1606. </w:t>
      </w:r>
      <w:r>
        <w:rPr>
          <w:i/>
          <w:color w:val="004D40"/>
          <w:sz w:val="18"/>
        </w:rPr>
        <w:t>doi:10.1002/wcms.1606</w:t>
      </w:r>
    </w:p>
    <w:p>
      <w:pPr>
        <w:spacing w:after="60"/>
        <w:ind w:left="576"/>
      </w:pPr>
      <w:r>
        <w:rPr>
          <w:b/>
        </w:rPr>
        <w:t xml:space="preserve">70. </w:t>
      </w:r>
      <w:r>
        <w:t xml:space="preserve">Becke, A. D. Density-functional thermochemistry. III. The role of exact exchange. J. Chem. Phys. 1993, 98 (7), 5648–5652. </w:t>
      </w:r>
      <w:r>
        <w:rPr>
          <w:i/>
          <w:color w:val="004D40"/>
          <w:sz w:val="18"/>
        </w:rPr>
        <w:t>doi:10.1063/1.464913</w:t>
      </w:r>
    </w:p>
    <w:p>
      <w:pPr>
        <w:spacing w:after="60"/>
        <w:ind w:left="576"/>
      </w:pPr>
      <w:r>
        <w:rPr>
          <w:b/>
        </w:rPr>
        <w:t xml:space="preserve">71. </w:t>
      </w:r>
      <w:r>
        <w:t xml:space="preserve">Grimme, S.; Ehrlich, S.; Goerigk, L. Effect of the damping function in dispersion corrected density functional theory. J. Comput. Chem. 2011, 32 (7), 1456–1465. </w:t>
      </w:r>
      <w:r>
        <w:rPr>
          <w:i/>
          <w:color w:val="004D40"/>
          <w:sz w:val="18"/>
        </w:rPr>
        <w:t>doi:10.1002/jcc.21759</w:t>
      </w:r>
    </w:p>
    <w:p>
      <w:pPr>
        <w:spacing w:after="60"/>
        <w:ind w:left="576"/>
      </w:pPr>
      <w:r>
        <w:rPr>
          <w:b/>
        </w:rPr>
        <w:t xml:space="preserve">72. </w:t>
      </w:r>
      <w:r>
        <w:t xml:space="preserve">Weigend, F.; Ahlrichs, R. Balanced basis sets of split valence, triple zeta valence and quadruple zeta valence quality for H to Rn: Design and assessment of accuracy. Phys. Chem. Chem. Phys. 2005, 7 (18), 3297–3305. </w:t>
      </w:r>
      <w:r>
        <w:rPr>
          <w:i/>
          <w:color w:val="004D40"/>
          <w:sz w:val="18"/>
        </w:rPr>
        <w:t>doi:10.1039/B508541A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