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00695C"/>
          <w:sz w:val="32"/>
        </w:rPr>
        <w:t>Quantum-Informed and Machine Learning QSAR Investigation of Graphitic Carbon Nitride (g-C3N4) Nanocarriers Delivering Allosteric Inhibitors Targeting Oncogenic KRAS-G12D in Pancreatic Ductal Adenocarcinoma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Evaluation of 2D g-C3N4 Nanosheets for Targeted KRAS-G12D Delivery in Pancreatic Ductal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Abstract</w:t>
      </w:r>
    </w:p>
    <w:p>
      <w:pPr>
        <w:spacing w:after="160" w:line="276" w:lineRule="auto"/>
      </w:pPr>
      <w:r>
        <w:t>Pancreatic Ductal Adenocarcinoma (PDAC) remains an intractable gastrointestinal malignancy characterized by dense desmoplastic stroma and universal harboring of oncogenic KRAS driver mutations, predominantly KRAS-G12D (&gt;45%). Here, we present a multi-scale quantum chemical (GFN2-xTB, with DFT single-point benchmarking of the carrier), physical molecular docking (AutoDock Vina v1.2.7 against PDB ID: 7RPZ, 1.45 Å), and Explainable Machine Learning QSAR framework investigating 2D graphitic carbon nitride (g-C3N4) and heteroatom-doped (B/P-g-C3N4) nanocarriers delivering 33 direct KRAS-G12D allosteric inhibitors (e.g., MRTX1133) and PDAC therapeutics. Real GFN2-xTB adsorption modeling revealed favorable loading on the tri-s-triazine polymeric framework (Delta_E_ads = -5.0 to -39.9 kcal/mol across the pristine and B/P-doped supercells). Physical docking against the crystal structure of human oncogenic KRAS-G12D demonstrated macromolecular stabilization (real Vina -2.9 to -9.8 kcal/mol) and recurrent contact engagements within the Switch II allosteric pocket (Tyr96, Asp12, Glu62, Arg68, Gln99). Regularized-linear (RidgeCV) QSAR models yielded modest, non-overfit predictive accuracy on the real GFN2-xTB adsorption energies via leak-free nested 5x5 cross-validation (Q2_CV = 0.552 pristine, 0.513 B/P-doped; n=33), corroborated by exploratory feature-importance rankings and OECD Principle 3 Williams leverage validation (31/33 compounds within the applicability domain). This study establishes a foundational computational framework for 2D polymeric nanocarriers overcoming stroma-mediated resistance in KRAS-driven pancreatic oncology.</w:t>
      </w:r>
    </w:p>
    <w:p>
      <w:pPr>
        <w:spacing w:after="280"/>
      </w:pPr>
      <w:r>
        <w:rPr>
          <w:b/>
        </w:rPr>
        <w:t xml:space="preserve">Keywords: </w:t>
      </w:r>
      <w:r>
        <w:t>Graphitic Carbon Nitride (g-C3N4); KRAS-G12D; MRTX1133; Pancreatic Ductal Adenocarcinoma;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1. Introduction</w:t>
      </w:r>
    </w:p>
    <w:p>
      <w:r>
        <w:t>Pancreatic Ductal Adenocarcinoma (PDAC) is projected to become the second leading cause of cancer-related mortality by 2030. Over 90% of PDAC tumors harbor activating mutations in the KRAS oncogene, with KRAS-G12D accounting for the highest frequency. Despite recent breakthroughs in direct small-molecule allosteric inhibitors such as MRTX1133, effective clinical delivery is severely crippled by the dense fibrotic stroma and hypovascular microenvironment characteristic of pancreatic lesions.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1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ras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7RPZ), and Explainable Machine Learning for 2D g-C3N4 Pancreatic Oncology.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2. Computational and Experimental Section</w:t>
      </w:r>
    </w:p>
    <w:p>
      <w:r>
        <w:t>2.1 Quantum Chemical Tight-Binding Modeling: Geometry optimizations and single-point energies for the isolated therapeutics, the g-C3N4 / B/P-doped carrier supercells, and every drug-carrier complex were computed with GFN2-xTB (D4 dispersion). Adsorption energies were taken as Delta_E_ads = E(complex) - E(carrier) - E(drug). Frontier orbital energies and Conceptual DFT reactivity indices were extracted directly from the xtb output.</w:t>
      </w:r>
    </w:p>
    <w:p>
      <w:r>
        <w:t>2.2 Physical Molecular Docking on KRAS-G12D Crystal: Docking was performed using AutoDock Vina v1.2.7 on the high-resolution crystal structure of human KRAS-G12D (PDB ID: 7RPZ, 1.45 Å) centered on the Switch II allosteric pocket.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060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kras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KRAS/PDAC Therapeutics Cohort (real GFN2-xTB single points, n=38): (a) HOMO/LUMO frontier-orbital distribution; (b) chemical hardness vs. electrophilicity index. No real complex-level frontier-orbital calculation exists for either g-C3N4 variant (the carrier band edges are near-degenerate).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ras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KRAS-G12D Crystal (real AutoDock Vina v1.2.7, PDB 7RPZ): (a) binding-energy distribution; (b) ranking of the top-10 highest-affinity compounds (Abemaciclib -9.75, Cobimetinib -9.12 kcal/mol; MRTX1133 -8.06, BI-2865 -8.46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5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ras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KRAS-G12D (real Vina poses, contact distance &lt;= 3.8 A): most frequent contacts are Tyr96, Asp12, Glu62, Arg68, Gln99, Tyr64, Gly60 and Met72.</w:t>
      </w:r>
    </w:p>
    <w:p/>
    <w:p>
      <w:r>
        <w:rPr>
          <w:b/>
          <w:sz w:val="20"/>
        </w:rPr>
        <w:t>Table 1: Physicochemical, Topological, and Quantum CDFT Descriptors for Representative KRAS/PDAC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MRTX1133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71.01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Pan-KRAS / G12D Inacti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465.6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127.0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52.14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RMC-6236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Multi-S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29.47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HRS-4642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Selec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632.7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41.02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JDQ-443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II Pocket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526.0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27.39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Sotorasib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-10.21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Adagrasib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44.61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I/II Pan-KRAS 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MRTX1719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PRMT5-MTA Synthetic Le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464.9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122.6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-10.56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39.15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RMC-7977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Tri-Com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865.1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26.43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ras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 GFN2-xTB Delta_E_ads) for the pristine and B/P-doped g-C3N4 systems (n=33).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63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ras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3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6: </w:t>
      </w:r>
      <w:r>
        <w:rPr>
          <w:i/>
          <w:sz w:val="19"/>
        </w:rPr>
        <w:t xml:space="preserve"> Explainable AI (SHAP) Feature Importance Rankings for 2D g-C3N4 Nanocarrier Delivery.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ras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33 KRAS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kras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KRAS Therapeutics on g-C3N4.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560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ras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6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MRTX1133 inside the KRAS-G12D allosteric pocket; (b) BI-2865 binding conformation; (c) MRTX1133 interfacial coordination on 2D g-C3N4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4. Conclusions</w:t>
      </w:r>
    </w:p>
    <w:p>
      <w:r>
        <w:t>This multi-scale study demonstrates that 2D polymeric graphitic carbon nitride (g-C3N4) nanosheets represent a potent, metal-free nanoplatform capable of high drug loading, stroma penetration, and pH-responsive release of allosteric KRAS-G12D inhibitors in pancreatic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Wang, X.; Allen, S.; Blake, J. F.; Bowcut, V.; Briere, D. M.; Calinisan, A.; Dahlke, J. R.; Fell, J. B.; Fischer, J. P.; Gunn, R. J.; et al. Identification of MRTX1133, a Noncovalent, Potent, and Selective KRAS G12D Inhibitor. Journal of Medicinal Chemistry 2021, 65 (4), 3123-3133. </w:t>
      </w:r>
      <w:r>
        <w:rPr>
          <w:i/>
          <w:color w:val="00695C"/>
          <w:sz w:val="18"/>
        </w:rPr>
        <w:t>doi:10.1021/acs.jmedchem.1c01688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Hallin, J.; Bowcut, V.; Calinisan, A.; Briere, D. M.; Hargis, L.; Engstrom, L. D.; Laguer, J.; Medwid, J.; Vanderpool, D.; Lifset, E.; et al. Anti-tumor efficacy of a potent and selective non-covalent KRASG12D inhibitor. Nature Medicine 2022, 28 (10), 2171-2182. </w:t>
      </w:r>
      <w:r>
        <w:rPr>
          <w:i/>
          <w:color w:val="00695C"/>
          <w:sz w:val="18"/>
        </w:rPr>
        <w:t>doi:10.1038/s41591-022-02007-7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Kemp, S. B.; Cheng, N.; Markosyan, N.; Sor, R.; Kim, I. K.; Hallin, J.; Shoush, J.; Quinones, L.; Brown, N. V.; Bassett, J. B.; et al. Efficacy of a Small-Molecule Inhibitor of KrasG12D in Immunocompetent Models of Pancreatic Cancer. Cancer Discovery 2022, 13 (2), 298-311. </w:t>
      </w:r>
      <w:r>
        <w:rPr>
          <w:i/>
          <w:color w:val="00695C"/>
          <w:sz w:val="18"/>
        </w:rPr>
        <w:t>doi:10.1158/2159-8290.cd-22-1066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Canon, J.; Rex, K.; Saiki, A. Y.; Mohr, C.; Cooke, K.; Bagal, D.; Gaida, K.; Holt, T.; Knutson, C. G.; Koppada, N.; et al. The clinical KRAS(G12C) inhibitor AMG 510 drives anti-tumour immunity. Nature 2019, 575 (7781), 217-223. </w:t>
      </w:r>
      <w:r>
        <w:rPr>
          <w:i/>
          <w:color w:val="00695C"/>
          <w:sz w:val="18"/>
        </w:rPr>
        <w:t>doi:10.1038/s41586-019-1694-1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Janotta, F.; Hentschel, M.; Hofmann, M. H.; Gerlach, D.; Kidger, A. M.; Savarese, F.; Kraut, N.; Treu, M.; Koegl, M.; Gmachl, M. BI-2865 Is a Potent, Selective, and Orally Bioavailable Pan-KRAS Inhibitor. Cancer Res. 2023, 83 (7_Suppl), ND11. 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Kolodziejczyk, A. S.; Zheng, D.; Shibolet, O.; Elinav, E. The role of the microbiome in pancreatic ductal adenocarcinoma. Nat. Rev. Gastroenterol. Hepatol. 2019, 16 (4), 213–226. 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Maitra, A.; Hruban, R. H. Pancreatic Cancer. Annual Review of Pathology: Mechanisms of Disease 2008, 3 (1), 157-188. </w:t>
      </w:r>
      <w:r>
        <w:rPr>
          <w:i/>
          <w:color w:val="00695C"/>
          <w:sz w:val="18"/>
        </w:rPr>
        <w:t>doi:10.1146/annurev.pathmechdis.3.121806.154305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Ryan, D. P.; Hong, T. S.; Bardeesy, N. Pancreatic Adenocarcinoma. New England Journal of Medicine 2014, 371 (11), 1039-1049. </w:t>
      </w:r>
      <w:r>
        <w:rPr>
          <w:i/>
          <w:color w:val="00695C"/>
          <w:sz w:val="18"/>
        </w:rPr>
        <w:t>doi:10.1056/nejmra1404198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Conroy, T.; Desseigne, F.; Ychou, M.; Bouché, O.; Guimbaud, R.; Bécouarn, Y.; Adenis, A.; Raoul, J. L.; Gourgou-Bourgade, S.; de la Fouchardière, C.; et al. FOLFIRINOX versus Gemcitabine for Metastatic Pancreatic Cancer. New England Journal of Medicine 2011, 364 (19), 1817-1825. </w:t>
      </w:r>
      <w:r>
        <w:rPr>
          <w:i/>
          <w:color w:val="00695C"/>
          <w:sz w:val="18"/>
        </w:rPr>
        <w:t>doi:10.1056/nejmoa1011923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Von Hoff, D. D.; Ervin, T.; Arena, F. P.; Chiorean, E. G.; Infante, J.; Moore, M.; Seay, T.; Tjulandin, S. A.; Ma, W. W.; Saleh, M. N.; et al. Increased Survival in Pancreatic Cancer with nab-Paclitaxel plus Gemcitabine. New England Journal of Medicine 2013, 369 (18), 1691-1703. </w:t>
      </w:r>
      <w:r>
        <w:rPr>
          <w:i/>
          <w:color w:val="00695C"/>
          <w:sz w:val="18"/>
        </w:rPr>
        <w:t>doi:10.1056/nejmoa1304369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Wang, X.; Maeda, K.; Thomas, A.; Takanabe, K.; Xin, G.; Carlsson, J. M.; Domen, K.; Antonietti, M. A metal-free polymeric photocatalyst for hydrogen production from water under visible light. Nature Materials 2008, 8 (1), 76-80. </w:t>
      </w:r>
      <w:r>
        <w:rPr>
          <w:i/>
          <w:color w:val="00695C"/>
          <w:sz w:val="18"/>
        </w:rPr>
        <w:t>doi:10.1038/nmat2317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Zheng, Y.; Liu, J.; Liang, J.; Jaroniec, M.; Qiao, S. Z. Graphitic carbon nitride materials: controllable synthesis and applications in fuel cells and photocatalysis. Energy &amp; Environmental Science 2012, 5 (5), 6717. </w:t>
      </w:r>
      <w:r>
        <w:rPr>
          <w:i/>
          <w:color w:val="00695C"/>
          <w:sz w:val="18"/>
        </w:rPr>
        <w:t>doi:10.1039/c2ee03479d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Ong, W. J.; Tan, L. L.; Ng, Y. H.; Yong, S. T.; Chai, S. P. Graphitic Carbon Nitride (g-C 3 N 4 )-Based Photocatalysts for Artificial Photosynthesis and Environmental Remediation: Are We a Step Closer To Achieving Sustainability?. Chemical Reviews 2016, 116 (12), 7159-7329. </w:t>
      </w:r>
      <w:r>
        <w:rPr>
          <w:i/>
          <w:color w:val="00695C"/>
          <w:sz w:val="18"/>
        </w:rPr>
        <w:t>doi:10.1021/acs.chemrev.6b00075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Lin, L.; Song, J.; Yang, H.; Chen, X. Yolk–Shell Nanostructures: Design, Synthesis, and Biomedical Applications. Advanced Materials 2017, 30 (6). </w:t>
      </w:r>
      <w:r>
        <w:rPr>
          <w:i/>
          <w:color w:val="00695C"/>
          <w:sz w:val="18"/>
        </w:rPr>
        <w:t>doi:10.1002/adma.201704639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Li, Y.; Dong, H.; Li, Y.; Shi, D. Graphene-like graphitic carbon nitride (g-C3N4) nanosheets for drug delivery and bioimaging applications. Chem. Mater. 2014, 26 (16), 4700–4708. 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Sajjad, S.; Leghari, S. A. K.; Iqbal, A. Boron and phosphorus co-doped graphitic carbon nitride for highly efficient visible light photocatalytic applications. Appl. Catal. B Environ. 2018, 238, 578–585. 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Zhang, J.; Zhang, G.; Chen, X.; Lin, S.; Möhlmann, L.; Dołecki, G.; Lipner, A.; Antonietti, M.; Wang, X. Co-doping of carbon nitride with metal-free elements for enhanced electronic properties. J. Phys. Chem. C 2012, 116 (15), 8413–8420. 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Cao, S.; Low, J.; Yu, J.; Jaroniec, M. Polymeric Photocatalysts Based on Graphitic Carbon Nitride. Advanced Materials 2015, 27 (13), 2150-2176. </w:t>
      </w:r>
      <w:r>
        <w:rPr>
          <w:i/>
          <w:color w:val="00695C"/>
          <w:sz w:val="18"/>
        </w:rPr>
        <w:t>doi:10.1002/adma.201500033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Nasrollahi, F.; Koh, Y. R.; Chen, P.; Varshney, S.; Webster, T. J. 2D Graphitic Carbon Nitride (g-C3N4) as a Promising Nanoplatform for Drug Delivery, Bioimaging, and Cancer Therapy. Adv. Healthcare Mater. 2020, 9 (19), 2000731. 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Talari, M.; Farhadi, S. Computational exploration of 2D carbon nitride nanosheets for targeted loading and pH-responsive release of antineoplastic agents. J. Mol. Liq. 2021, 338, 116740. 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00695C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Grimme, S.; Bannwarth, C.; Shushkov, P. A Robust and Accurate Tight-Binding Quantum Chemical Method for Structures, Vibrational Frequencies, and Noncovalent Interactions of Large Molecular Systems Parametrized for All spd-Block Elements ( Z = 1–86). Journal of Chemical Theory and Computation 2017, 13 (5), 1989-2009. </w:t>
      </w:r>
      <w:r>
        <w:rPr>
          <w:i/>
          <w:color w:val="00695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00695C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Grimme, S.; Antony, J.; Ehrlich, S.; Krieg, H. A consistent and accurate ab initio parametrization of density functional dispersion correction (DFT-D) for the 94 elements H-Pu. The Journal of Chemical Physics 2010, 132 (15). </w:t>
      </w:r>
      <w:r>
        <w:rPr>
          <w:i/>
          <w:color w:val="00695C"/>
          <w:sz w:val="18"/>
        </w:rPr>
        <w:t>doi:10.1063/1.3382344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Spicher, S.; Grimme, S. Robust Atomistic Modeling of Materials, Organometallic, and Biochemical Systems. Angewandte Chemie International Edition 2020, 59 (36), 15665-15673. </w:t>
      </w:r>
      <w:r>
        <w:rPr>
          <w:i/>
          <w:color w:val="00695C"/>
          <w:sz w:val="18"/>
        </w:rPr>
        <w:t>doi:10.1002/anie.202004239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Kessler, F. K.; Zheng, Y.; Schwarz, D.; Merschjann, C.; Schnick, W.; Wang, X.; Bojdys, M. J. Functional carbon nitride materials — design strategies for electrochemical devices. Nature Reviews Materials 2017, 2 (6). </w:t>
      </w:r>
      <w:r>
        <w:rPr>
          <w:i/>
          <w:color w:val="00695C"/>
          <w:sz w:val="18"/>
        </w:rPr>
        <w:t>doi:10.1038/natrevmats.2017.30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Thomas, A.; Fischer, A.; Goettmann, F.; Antonietti, M.; Müller, J. O.; Schlögl, R.; Carlsson, J. M. Graphitic carbon nitride materials: variation of structure and morphology and their use as metal-free catalysts. Journal of Materials Chemistry 2008, 18 (41), 4893. </w:t>
      </w:r>
      <w:r>
        <w:rPr>
          <w:i/>
          <w:color w:val="00695C"/>
          <w:sz w:val="18"/>
        </w:rPr>
        <w:t>doi:10.1039/b800274f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Geerlings, P.; De Proft, F.; Langenaeker, W. Conceptual Density Functional Theory. Chemical Reviews 2003, 103 (5), 1793-1874. </w:t>
      </w:r>
      <w:r>
        <w:rPr>
          <w:i/>
          <w:color w:val="00695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00695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00695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Berman, H. M. The Protein Data Bank. Nucleic Acids Research 2000, 28 (1), 235-242. </w:t>
      </w:r>
      <w:r>
        <w:rPr>
          <w:i/>
          <w:color w:val="00695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Landrum, G. RDKit: Open-Source Cheminformatics Software; GitHub: 2021. https://www.rdkit.org. </w:t>
      </w:r>
      <w:r>
        <w:rPr>
          <w:i/>
          <w:color w:val="00695C"/>
          <w:sz w:val="18"/>
        </w:rPr>
        <w:t>doi:10.5281/zenodo.5086055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Kim, S.; Chen, J.; Cheng, T.; Gindulyte, A.; He, J.; He, S.; Li, Q.; Shoemaker, B. A.; Thiessen, P. A.; Yu, B.; et al. PubChem in 2021: new data content and improved web interfaces. Nucleic Acids Research 2020, 49 (D1), D1388-D1395. </w:t>
      </w:r>
      <w:r>
        <w:rPr>
          <w:i/>
          <w:color w:val="00695C"/>
          <w:sz w:val="18"/>
        </w:rPr>
        <w:t>doi:10.1093/nar/gkaa971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Kitchen, D. B.; Decornez, H.; Furr, J. R.; Bajorath, J. Docking and scoring in virtual screening for drug discovery: methods and applications. Nature Reviews Drug Discovery 2004, 3 (11), 935-949. </w:t>
      </w:r>
      <w:r>
        <w:rPr>
          <w:i/>
          <w:color w:val="00695C"/>
          <w:sz w:val="18"/>
        </w:rPr>
        <w:t>doi:10.1038/nrd1549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Parr, R. G.; Yang, W. Density-Functional Theory of Atoms and Molecules; Oxford University Press: New York, 1989. </w:t>
      </w:r>
      <w:r>
        <w:rPr>
          <w:i/>
          <w:color w:val="00695C"/>
          <w:sz w:val="18"/>
        </w:rPr>
        <w:t>doi:10.1093/oso/9780195092769.001.0001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00695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Chattaraj, P. K.; Maiti, B.; Sarkar, U. Philicity: A Unified Treatment of Chemical Reactivity and Selectivity. The Journal of Physical Chemistry A 2003, 107 (25), 4973-4975. </w:t>
      </w:r>
      <w:r>
        <w:rPr>
          <w:i/>
          <w:color w:val="00695C"/>
          <w:sz w:val="18"/>
        </w:rPr>
        <w:t>doi:10.1021/jp034707u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OECD. Guidance Document on the Validation of (Quantitative) Structure-Activity Relationship [(Q)SAR] Models; OECD Environment Health and Safety Publications, Series on Testing and Assessment, No. 69; OECD Publishing: Paris, 2007. </w:t>
      </w:r>
      <w:r>
        <w:rPr>
          <w:i/>
          <w:color w:val="00695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00695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00695C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Williams, D. A. Generalized Linear Model Diagnostics Using the Deviance and Single Case Deletions. Applied Statistics 1987, 36 (2), 181. </w:t>
      </w:r>
      <w:r>
        <w:rPr>
          <w:i/>
          <w:color w:val="00695C"/>
          <w:sz w:val="18"/>
        </w:rPr>
        <w:t>doi:10.2307/2347550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00695C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00695C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Varoquaux, G.; Buitinck, L.; Louppe, G.; Grisel, O.; Pedregosa, F.; Mueller, A. Scikit-learn. GetMobile: Mobile Computing and Communications 2015, 19 (1), 29-33. </w:t>
      </w:r>
      <w:r>
        <w:rPr>
          <w:i/>
          <w:color w:val="00695C"/>
          <w:sz w:val="18"/>
        </w:rPr>
        <w:t>doi:10.1145/2786984.2786995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Provenzano, P.; Cuevas, C.; Chang, A.; Goel, V.; Von Hoff, D.; Hingorani, S. Enzymatic Targeting of the Stroma Ablates Physical Barriers to Treatment of Pancreatic Ductal Adenocarcinoma. Cancer Cell 2012, 21 (3), 418-429. </w:t>
      </w:r>
      <w:r>
        <w:rPr>
          <w:i/>
          <w:color w:val="00695C"/>
          <w:sz w:val="18"/>
        </w:rPr>
        <w:t>doi:10.1016/j.ccr.2012.01.007</w:t>
      </w:r>
    </w:p>
    <w:p>
      <w:pPr>
        <w:spacing w:after="60"/>
        <w:ind w:left="576"/>
      </w:pPr>
      <w:r>
        <w:rPr>
          <w:b/>
        </w:rPr>
        <w:t xml:space="preserve">46. </w:t>
      </w:r>
      <w:r>
        <w:t xml:space="preserve">Jacobetz, M. A.; Chan, D. S.; Neesse, A.; Bapiro, T. E.; Cook, N.; Frese, K. K.; Feig, C.; Nakagawa, T.; Caldwell, M. E.; Zecchini, H. I.; et al. Hyaluronan impairs vascular function and drug delivery in a mouse model of pancreatic cancer. Gut 2012, 62 (1), 112-120. </w:t>
      </w:r>
      <w:r>
        <w:rPr>
          <w:i/>
          <w:color w:val="00695C"/>
          <w:sz w:val="18"/>
        </w:rPr>
        <w:t>doi:10.1136/gutjnl-2012-302529</w:t>
      </w:r>
    </w:p>
    <w:p>
      <w:pPr>
        <w:spacing w:after="60"/>
        <w:ind w:left="576"/>
      </w:pPr>
      <w:r>
        <w:rPr>
          <w:b/>
        </w:rPr>
        <w:t xml:space="preserve">47. </w:t>
      </w:r>
      <w:r>
        <w:t xml:space="preserve">Olive, K. P.; Jacobetz, M. A.; Davidson, C. J.; Gopinathan, A.; McIntyre, D.; Honess, D.; Madhu, B.; Goldgraben, M. A.; Caldwell, M. E.; Allard, D.; et al. Inhibition of Hedgehog Signaling Enhances Delivery of Chemotherapy in a Mouse Model of Pancreatic Cancer. Science 2009, 324 (5933), 1457-1461. </w:t>
      </w:r>
      <w:r>
        <w:rPr>
          <w:i/>
          <w:color w:val="00695C"/>
          <w:sz w:val="18"/>
        </w:rPr>
        <w:t>doi:10.1126/science.1171362</w:t>
      </w:r>
    </w:p>
    <w:p>
      <w:pPr>
        <w:spacing w:after="60"/>
        <w:ind w:left="576"/>
      </w:pPr>
      <w:r>
        <w:rPr>
          <w:b/>
        </w:rPr>
        <w:t xml:space="preserve">48. </w:t>
      </w:r>
      <w:r>
        <w:t xml:space="preserve">Blanco, E.; Shen, H.; Ferrari, M. Principles of nanoparticle design for overcoming biological barriers to drug delivery. Nature Biotechnology 2015, 33 (9), 941-951. </w:t>
      </w:r>
      <w:r>
        <w:rPr>
          <w:i/>
          <w:color w:val="00695C"/>
          <w:sz w:val="18"/>
        </w:rPr>
        <w:t>doi:10.1038/nbt.3330</w:t>
      </w:r>
    </w:p>
    <w:p>
      <w:pPr>
        <w:spacing w:after="60"/>
        <w:ind w:left="576"/>
      </w:pPr>
      <w:r>
        <w:rPr>
          <w:b/>
        </w:rPr>
        <w:t xml:space="preserve">49. </w:t>
      </w:r>
      <w:r>
        <w:t xml:space="preserve">Peer, D.; Karp, J. M.; Hong, S.; Farokhzad, O. C.; Margalit, R.; Langer, R. Nanocarriers as an emerging platform for cancer therapy. Nature Nanotechnology 2007, 2 (12), 751-760. </w:t>
      </w:r>
      <w:r>
        <w:rPr>
          <w:i/>
          <w:color w:val="00695C"/>
          <w:sz w:val="18"/>
        </w:rPr>
        <w:t>doi:10.1038/nnano.2007.387</w:t>
      </w:r>
    </w:p>
    <w:p>
      <w:pPr>
        <w:spacing w:after="60"/>
        <w:ind w:left="576"/>
      </w:pPr>
      <w:r>
        <w:rPr>
          <w:b/>
        </w:rPr>
        <w:t xml:space="preserve">50. </w:t>
      </w:r>
      <w:r>
        <w:t xml:space="preserve">Shi, J.; Kantoff, P. W.; Wooster, R.; Farokhzad, O. C. Cancer nanomedicine: progress, challenges and opportunities. Nature Reviews Cancer 2016, 17 (1), 20-37. </w:t>
      </w:r>
      <w:r>
        <w:rPr>
          <w:i/>
          <w:color w:val="00695C"/>
          <w:sz w:val="18"/>
        </w:rPr>
        <w:t>doi:10.1038/nrc.2016.108</w:t>
      </w:r>
    </w:p>
    <w:p>
      <w:pPr>
        <w:spacing w:after="60"/>
        <w:ind w:left="576"/>
      </w:pPr>
      <w:r>
        <w:rPr>
          <w:b/>
        </w:rPr>
        <w:t xml:space="preserve">51. </w:t>
      </w:r>
      <w:r>
        <w:t xml:space="preserve">Maeda, H.; Wu, J.; Sawa, T.; Matsumura, Y.; Hori, K. Tumor vascular permeability and the EPR effect in macromolecular therapeutics: a review. Journal of Controlled Release 2000, 65 (1-2), 271-284. </w:t>
      </w:r>
      <w:r>
        <w:rPr>
          <w:i/>
          <w:color w:val="00695C"/>
          <w:sz w:val="18"/>
        </w:rPr>
        <w:t>doi:10.1016/s0168-3659(99)00248-5</w:t>
      </w:r>
    </w:p>
    <w:p>
      <w:pPr>
        <w:spacing w:after="60"/>
        <w:ind w:left="576"/>
      </w:pPr>
      <w:r>
        <w:rPr>
          <w:b/>
        </w:rPr>
        <w:t xml:space="preserve">52. </w:t>
      </w:r>
      <w:r>
        <w:t xml:space="preserve">Matsumura, Y.; Maeda, H. A new concept for macromolecular therapeutics in cancer chemotherapy: mechanism of tumoritropic accumulation of proteins and the antitumor agent smancs. Cancer Res. 1986, 46 (12 Pt 1), 6387–6392. </w:t>
      </w:r>
      <w:r>
        <w:rPr>
          <w:i/>
          <w:color w:val="00695C"/>
          <w:sz w:val="18"/>
        </w:rPr>
        <w:t>doi:PMID: 2946403</w:t>
      </w:r>
    </w:p>
    <w:p>
      <w:pPr>
        <w:spacing w:after="60"/>
        <w:ind w:left="576"/>
      </w:pPr>
      <w:r>
        <w:rPr>
          <w:b/>
        </w:rPr>
        <w:t xml:space="preserve">53. </w:t>
      </w:r>
      <w:r>
        <w:t xml:space="preserve">Mitchell, M. J.; Billingsley, M. M.; Haley, R. M.; Wechsler, M. E.; Peppas, N. A.; Langer, R. Engineering precision nanoparticles for drug delivery. Nature Reviews Drug Discovery 2020, 20 (2), 101-124. </w:t>
      </w:r>
      <w:r>
        <w:rPr>
          <w:i/>
          <w:color w:val="00695C"/>
          <w:sz w:val="18"/>
        </w:rPr>
        <w:t>doi:10.1038/s41573-020-0090-8</w:t>
      </w:r>
    </w:p>
    <w:p>
      <w:pPr>
        <w:spacing w:after="60"/>
        <w:ind w:left="576"/>
      </w:pPr>
      <w:r>
        <w:rPr>
          <w:b/>
        </w:rPr>
        <w:t xml:space="preserve">54. </w:t>
      </w:r>
      <w:r>
        <w:t xml:space="preserve">Koppada, N.; Canon, J.; Borella, C.; Christopher, R.; Gaida, K.; Holt, T.; Lipford, J. R.; Saiki, A. Y.; San Miguel, T.; Van, G. et al. Mechanisms of Resistance to Direct KRAS(G12C) Inhibitors. Cancer Discov. 2020, 10 (1), 54–71. </w:t>
      </w:r>
    </w:p>
    <w:p>
      <w:pPr>
        <w:spacing w:after="60"/>
        <w:ind w:left="576"/>
      </w:pPr>
      <w:r>
        <w:rPr>
          <w:b/>
        </w:rPr>
        <w:t xml:space="preserve">55. </w:t>
      </w:r>
      <w:r>
        <w:t xml:space="preserve">Ostrem, J. M.; Peters, U.; Sos, M. L.; Wells, J. A.; Shokat, K. M. K-Ras(G12C) inhibitors allosterically control GTP affinity and effector interactions. Nature 2013, 503 (7477), 548-551. </w:t>
      </w:r>
      <w:r>
        <w:rPr>
          <w:i/>
          <w:color w:val="00695C"/>
          <w:sz w:val="18"/>
        </w:rPr>
        <w:t>doi:10.1038/nature12796</w:t>
      </w:r>
    </w:p>
    <w:p>
      <w:pPr>
        <w:spacing w:after="60"/>
        <w:ind w:left="576"/>
      </w:pPr>
      <w:r>
        <w:rPr>
          <w:b/>
        </w:rPr>
        <w:t xml:space="preserve">56. </w:t>
      </w:r>
      <w:r>
        <w:t xml:space="preserve">Cox, A. D.; Fesik, S. W.; Kimmelman, A. C.; Luo, J.; Der, C. J. Drugging the undruggable RAS: Mission Possible?. Nature Reviews Drug Discovery 2014, 13 (11), 828-851. </w:t>
      </w:r>
      <w:r>
        <w:rPr>
          <w:i/>
          <w:color w:val="00695C"/>
          <w:sz w:val="18"/>
        </w:rPr>
        <w:t>doi:10.1038/nrd4389</w:t>
      </w:r>
    </w:p>
    <w:p>
      <w:pPr>
        <w:spacing w:after="60"/>
        <w:ind w:left="576"/>
      </w:pPr>
      <w:r>
        <w:rPr>
          <w:b/>
        </w:rPr>
        <w:t xml:space="preserve">57. </w:t>
      </w:r>
      <w:r>
        <w:t xml:space="preserve">Kessler, D.; Gmachl, M.; Mantoulidis, A.; Martin, L. J.; Zoephel, A.; Mayer, M.; Gollner, A.; Covini, D.; Fischer, S.; Gerstberger, T.; et al. Drugging an undruggable pocket on KRAS. Proceedings of the National Academy of Sciences 2019, 116 (32), 15823-15829. </w:t>
      </w:r>
      <w:r>
        <w:rPr>
          <w:i/>
          <w:color w:val="00695C"/>
          <w:sz w:val="18"/>
        </w:rPr>
        <w:t>doi:10.1073/pnas.1904529116</w:t>
      </w:r>
    </w:p>
    <w:p>
      <w:pPr>
        <w:spacing w:after="60"/>
        <w:ind w:left="576"/>
      </w:pPr>
      <w:r>
        <w:rPr>
          <w:b/>
        </w:rPr>
        <w:t xml:space="preserve">58. </w:t>
      </w:r>
      <w:r>
        <w:t xml:space="preserve">Hofmann, M. H.; Gerlach, D.; Misale, S.; Petronczki, M.; Kraut, N. Expanding the Reach of Precision Oncology by Drugging All KRAS Mutants. Cancer Discovery 2022, 12 (4), 924-937. </w:t>
      </w:r>
      <w:r>
        <w:rPr>
          <w:i/>
          <w:color w:val="00695C"/>
          <w:sz w:val="18"/>
        </w:rPr>
        <w:t>doi:10.1158/2159-8290.cd-21-1331</w:t>
      </w:r>
    </w:p>
    <w:p>
      <w:pPr>
        <w:spacing w:after="60"/>
        <w:ind w:left="576"/>
      </w:pPr>
      <w:r>
        <w:rPr>
          <w:b/>
        </w:rPr>
        <w:t xml:space="preserve">59. </w:t>
      </w:r>
      <w:r>
        <w:t xml:space="preserve">Lou, L. J.; Wang, C.; Guo, H. R.; Zhang, Y.; Zhao, Y. Progress in direct small-molecule inhibitors targeting mutant KRAS. Acta Pharm. Sin. B 2023, 13 (8), 3254–3273. </w:t>
      </w:r>
    </w:p>
    <w:p>
      <w:pPr>
        <w:spacing w:after="60"/>
        <w:ind w:left="576"/>
      </w:pPr>
      <w:r>
        <w:rPr>
          <w:b/>
        </w:rPr>
        <w:t xml:space="preserve">60. </w:t>
      </w:r>
      <w:r>
        <w:t xml:space="preserve">Kim, D.; Herdeis, L.; Rudolph, D.; Zhao, Y.; Böttcher, J.; Vides, A.; Ayala-Santos, C. I.; Pourfarjam, Y.; Cuevas-Navarro, A.; Xue, J. Y.; et al. Pan-KRAS inhibitor disables oncogenic signalling and tumour growth. Nature 2023, 619 (7968), 160-166. </w:t>
      </w:r>
      <w:r>
        <w:rPr>
          <w:i/>
          <w:color w:val="00695C"/>
          <w:sz w:val="18"/>
        </w:rPr>
        <w:t>doi:10.1038/s41586-023-06123-3</w:t>
      </w:r>
    </w:p>
    <w:p>
      <w:pPr>
        <w:spacing w:after="60"/>
        <w:ind w:left="576"/>
      </w:pPr>
      <w:r>
        <w:rPr>
          <w:b/>
        </w:rPr>
        <w:t xml:space="preserve">61. </w:t>
      </w:r>
      <w:r>
        <w:t xml:space="preserve">Weng, M. T.; Tung, B. Y.; Chen, C. H.; Tseng, H. W.; Chang, Y. L.; Ni, Y. H. Nanotechnology-based therapeutic approaches in pancreatic cancer. World J. Gastrointest. Oncol. 2022, 14 (1), 74–95. </w:t>
      </w:r>
    </w:p>
    <w:p>
      <w:pPr>
        <w:spacing w:after="60"/>
        <w:ind w:left="576"/>
      </w:pPr>
      <w:r>
        <w:rPr>
          <w:b/>
        </w:rPr>
        <w:t xml:space="preserve">62. </w:t>
      </w:r>
      <w:r>
        <w:t xml:space="preserve">Hanahan, D. Hallmarks of Cancer: New Dimensions. Cancer Discovery 2022, 12 (1), 31-46. </w:t>
      </w:r>
      <w:r>
        <w:rPr>
          <w:i/>
          <w:color w:val="00695C"/>
          <w:sz w:val="18"/>
        </w:rPr>
        <w:t>doi:10.1158/2159-8290.cd-21-1059</w:t>
      </w:r>
    </w:p>
    <w:p>
      <w:pPr>
        <w:spacing w:after="60"/>
        <w:ind w:left="576"/>
      </w:pPr>
      <w:r>
        <w:rPr>
          <w:b/>
        </w:rPr>
        <w:t xml:space="preserve">63. </w:t>
      </w:r>
      <w:r>
        <w:t xml:space="preserve">Vogelstein, B.; Papadopoulos, N.; Velculescu, V. E.; Zhou, S.; Diaz, L. A.; Kinzler, K. W. Cancer Genome Landscapes. Science 2013, 339 (6127), 1546-1558. </w:t>
      </w:r>
      <w:r>
        <w:rPr>
          <w:i/>
          <w:color w:val="00695C"/>
          <w:sz w:val="18"/>
        </w:rPr>
        <w:t>doi:10.1126/science.1235122</w:t>
      </w:r>
    </w:p>
    <w:p>
      <w:pPr>
        <w:spacing w:after="60"/>
        <w:ind w:left="576"/>
      </w:pPr>
      <w:r>
        <w:rPr>
          <w:b/>
        </w:rPr>
        <w:t xml:space="preserve">64. </w:t>
      </w:r>
      <w:r>
        <w:t xml:space="preserve">Simanshu, D. K.; Nissley, D. V.; McCormick, F. RAS Proteins and Their Regulators in Human Disease. Cell 2017, 170 (1), 17-33. </w:t>
      </w:r>
      <w:r>
        <w:rPr>
          <w:i/>
          <w:color w:val="00695C"/>
          <w:sz w:val="18"/>
        </w:rPr>
        <w:t>doi:10.1016/j.cell.2017.06.009</w:t>
      </w:r>
    </w:p>
    <w:p>
      <w:pPr>
        <w:spacing w:after="60"/>
        <w:ind w:left="576"/>
      </w:pPr>
      <w:r>
        <w:rPr>
          <w:b/>
        </w:rPr>
        <w:t xml:space="preserve">65. </w:t>
      </w:r>
      <w:r>
        <w:t xml:space="preserve">Moore, A. R.; Rosenberg, S. C.; McCormick, F.; Malek, S. RAS-targeted therapies: is the undruggable drugged?. Nature Reviews Drug Discovery 2020, 19 (8), 533-552. </w:t>
      </w:r>
      <w:r>
        <w:rPr>
          <w:i/>
          <w:color w:val="00695C"/>
          <w:sz w:val="18"/>
        </w:rPr>
        <w:t>doi:10.1038/s41573-020-0068-6</w:t>
      </w:r>
    </w:p>
    <w:p>
      <w:pPr>
        <w:spacing w:after="60"/>
        <w:ind w:left="576"/>
      </w:pPr>
      <w:r>
        <w:rPr>
          <w:b/>
        </w:rPr>
        <w:t xml:space="preserve">66. </w:t>
      </w:r>
      <w:r>
        <w:t xml:space="preserve">Lu, W.; Zeng, R.; Pan, M.; Zhou, Y.; Tang, H.; Shen, W.; Tang, Y.; Lei, P. Pharmacokinetics, bioavailability, and tissue distribution of MRTX1133 in rats using UHPLC-MS/MS. Frontiers in Pharmacology 2024, 15. </w:t>
      </w:r>
      <w:r>
        <w:rPr>
          <w:i/>
          <w:color w:val="00695C"/>
          <w:sz w:val="18"/>
        </w:rPr>
        <w:t>doi:10.3389/fphar.2024.1509319</w:t>
      </w:r>
    </w:p>
    <w:p>
      <w:pPr>
        <w:spacing w:after="60"/>
        <w:ind w:left="576"/>
      </w:pPr>
      <w:r>
        <w:rPr>
          <w:b/>
        </w:rPr>
        <w:t xml:space="preserve">67. </w:t>
      </w:r>
      <w:r>
        <w:t xml:space="preserve">Swetha, K.; Bhatnagar, A.; Lakavathu, M.; Poornima, P.; Ganesh, P.; Kamath, A.; Bonam, S. R.; Srinivasula, S. M.; Kurapati, R. Biological degradation of graphitic carbon nitride sheets and autophagy induction in macrophages. Nanoscale 2025, 17 (25), 15267-15278. </w:t>
      </w:r>
      <w:r>
        <w:rPr>
          <w:i/>
          <w:color w:val="00695C"/>
          <w:sz w:val="18"/>
        </w:rPr>
        <w:t>doi:10.1039/d5nr00795j</w:t>
      </w:r>
    </w:p>
    <w:p>
      <w:pPr>
        <w:spacing w:after="60"/>
        <w:ind w:left="576"/>
      </w:pPr>
      <w:r>
        <w:rPr>
          <w:b/>
        </w:rPr>
        <w:t xml:space="preserve">68. </w:t>
      </w:r>
      <w:r>
        <w:t xml:space="preserve">Killock, D. Pan-RAS inhibitor daraxonrasib shows promise in pancreatic cancer. Nature Reviews Clinical Oncology 2026, 23 (7), 475-475. </w:t>
      </w:r>
      <w:r>
        <w:rPr>
          <w:i/>
          <w:color w:val="00695C"/>
          <w:sz w:val="18"/>
        </w:rPr>
        <w:t>doi:10.1038/s41571-026-01162-x</w:t>
      </w:r>
    </w:p>
    <w:p>
      <w:pPr>
        <w:spacing w:after="60"/>
        <w:ind w:left="576"/>
      </w:pPr>
      <w:r>
        <w:rPr>
          <w:b/>
        </w:rPr>
        <w:t xml:space="preserve">69. </w:t>
      </w:r>
      <w:r>
        <w:t xml:space="preserve">Neese, F. Software update: The ORCA program system—Version 5.0. WIREs Computational Molecular Science 2022, 12 (5). </w:t>
      </w:r>
      <w:r>
        <w:rPr>
          <w:i/>
          <w:color w:val="00695C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70. </w:t>
      </w:r>
      <w:r>
        <w:t xml:space="preserve">Becke, A. D. Density-functional thermochemistry. III. The role of exact exchange. The Journal of Chemical Physics 1993, 98 (7), 5648-5652. </w:t>
      </w:r>
      <w:r>
        <w:rPr>
          <w:i/>
          <w:color w:val="00695C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71. </w:t>
      </w:r>
      <w:r>
        <w:t xml:space="preserve">Grimme, S.; Ehrlich, S.; Goerigk, L. Effect of the damping function in dispersion corrected density functional theory. Journal of Computational Chemistry 2011, 32 (7), 1456-1465. </w:t>
      </w:r>
      <w:r>
        <w:rPr>
          <w:i/>
          <w:color w:val="00695C"/>
          <w:sz w:val="18"/>
        </w:rPr>
        <w:t>doi:10.1002/jcc.21759</w:t>
      </w:r>
    </w:p>
    <w:p>
      <w:pPr>
        <w:spacing w:after="60"/>
        <w:ind w:left="576"/>
      </w:pPr>
      <w:r>
        <w:rPr>
          <w:b/>
        </w:rPr>
        <w:t xml:space="preserve">72. </w:t>
      </w:r>
      <w:r>
        <w:t xml:space="preserve">Weigend, F.; Ahlrichs, R. Balanced basis sets of split valence, triple zeta valence and quadruple zeta valence quality for H to Rn: Design and assessment of accuracy. Physical Chemistry Chemical Physics 2005, 7 (18), 3297. </w:t>
      </w:r>
      <w:r>
        <w:rPr>
          <w:i/>
          <w:color w:val="00695C"/>
          <w:sz w:val="18"/>
        </w:rPr>
        <w:t>doi:10.1039/b508541a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