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+0.082 e)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-39.17 kcal/mol on pristine and -6.96 to -39.89 kcal/mol on B/P substituted templates at standardized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multi-level quantum benchmark against dispersion-corrected DFT single-point reference calculations (ORCA 6.1.1, B3LYP-D3BJ/def2-SVP, TightSCF) across eight representative oncology drugs demonstrated strong rank preservation (Spearman rho = 0.96, p = 0.0001; MAE = 2.14 kcal/mol, RMSE = 2.68 kcal/mol; counterpoise/def2-TZVP convergence confirmed).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(MAE = 3.82 kcal/mol, RMSE = 5.16 kcal/mol; Futibatinib: error +0.37 kcal/mol; Belumosudil: error +1.93 kcal/mol; Pimicotinib: error +1.11 kcal/mol; Avapritinib: -6.27 kcal/mol; Capivasertib: +9.42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DFT Benchmark;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benchmark against dispersion-corrected DFT reference calculations [69-72],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using ChemAxon Calculator Plugin (cxcalc pKa, version 23.18.0, MarvinBeans suite, macro- and micro-pKa mode with temperature T = 298.15 K, ionic strength I = 0.15 M, and physiological pH window 7.40 +/- 0.20) and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molecular interaction template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Heteroatom-substituted configurations were constructed by substitution: boron replacing carbon (C20B1N21H6, 2.1 at.% B), phosphorus replacing nitrogen (C21N20P1H6, 2.1 at.% P), and B/P co-substituted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Supramolecular drug-template complexes were constructed by positioning each drug molecule at a standardized unrelaxed vertical interplanar stacking distance (z = 3.35 Å) parallel to the planar framework. The standardized electronic interaction energy (Delta_E_int,std) was evaluated rigidly across all compounds as: Delta_E_int,std = E_complex - (E_template + E_drug,complex). This standardized fixed-distance protocol isolates the pure intermolecular electronic interaction without confounding intramolecular conformational strain penalties. In illustrative fully relaxed geometry optimizations of planar aromatic systems, complexes relax to an equilibrium interplanar separation of d_pi-pi ≈ 3.25 Å.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exact same standardized geometries: Delta_E_int,std_DFT = E_complex_DFT - E_sheet_DFT - E_drug,complex_DFT. Basis set convergence and basis set superposition error (BSSE) were evaluated across representative systems using the triple-zeta def2-TZVP basis set and Boys–Bernardi counterpoise correction, confirming that BSSE shifts interaction energies systematically (~1.8 kcal/mol) without altering the relative ranking (rho = 0.96 to 0.98; see Table S5). In addition, the first-generation GFN1-xTB Hamiltonian [22] was evaluated as a semiempirical baseline reference.</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pose recovery (-9.16 kcal/mol, PDB chemical component ID: 6IC); (b) Conformational binding energy landscape across sampled docking modes 1–9 presented as a precision 2D lollipop plot, highlighting the top-ranked ground-state pose (-9.16 kcal/mol) and the tight distribution of negative binding scores.</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448779"/>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448779"/>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evaluated rigidly at z = 3.35 Å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C20B1N20P1H6)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 without directly conflating it with bulk solution adsorption free energy (Delta_G_ads).</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3) [69-72]. Comparison with DFT reference calculations across eight representative systems (5-FU, Gemcitabine, Erlotinib, Selumetinib, MRTX1719, Futibatinib, MRTX1133, Methotrexate) demonstrated strong rank preservation (Figure 3a,c; Spearman rank correlation rho = 0.96, p = 0.0001) and low mean absolute error (MAE = 2.14 kcal/mol, RMSE = 2.68 kcal/mol), confirming that GFN2-xTB reliably reproduces the relative electronic interaction trends of higher-level dispersion-corrected DFT. Furthermore, evaluation of basis-set convergence with def2-TZVP and Boys–Bernardi counterpoise correction across representative compounds confirmed that BSSE introduces a uniform systematic offset (~1.8 kcal/mol) without disrupting relative rank ordering (rho = 0.96 to 0.98; Table S5). In contrast, comparison between GFN2-xTB [21] and GFN1-xTB [22] revealed a systematic semiempirical offset (Table 2, Figure 3d; MSE = -12.82 kcal/mol, MAE = 12.82 kcal/mol, RMSE = 17.34 kcal/mol; R² = 0.254), reflecting multi-term Hamiltonian updates including second-order density matrix self-consistency, anisotropic multi-pole electrostatics, and coordination-dependent D4 dispersion.</w:t>
      </w:r>
    </w:p>
    <w:p/>
    <w:p>
      <w:r>
        <w:rPr>
          <w:b/>
          <w:sz w:val="20"/>
        </w:rPr>
        <w:t>Table 2: 10-System Hamiltonian Sensitivity Analysis: GFN2-xTB vs GFN1-xTB on 2D g-C3N4 Standardized Drug–Carrier Interaction Energies (Delta_E_int,std)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3: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strong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illustrating multi-term Hamiltonian refinements.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4a). Y-scrambling permutation testing across 1,000 iterations (identical nested procedure on permuted labels) yielded a mean scrambled Q² of -0.12 (Figure 4c), with an empirical permutation p-value of 0.001, confirming that the observed predictive performance is unlikely to arise from chance correlation. In the Williams plot (Figure 4b),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4: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3, Figure 5).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878132"/>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878132"/>
                    </a:xfrm>
                    <a:prstGeom prst="rect"/>
                  </pic:spPr>
                </pic:pic>
              </a:graphicData>
            </a:graphic>
          </wp:inline>
        </w:drawing>
      </w:r>
    </w:p>
    <w:p>
      <w:pPr>
        <w:spacing w:after="200" w:line="276" w:lineRule="auto"/>
      </w:pPr>
      <w:r>
        <w:rPr>
          <w:b/>
          <w:color w:val="004D40"/>
          <w:sz w:val="18"/>
        </w:rPr>
        <w:t xml:space="preserve">Figure 5: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6: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planar cluster model (C21N21H6, 48 atoms) with MRTX1133 in standardized parallel stacking at z = 3.35 Angstroms (Delta_E_int,std = -35.03 kcal/mol); (d) B/P co-doped g-C3N4 planar cluster model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6b),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strong rank preservation (Spearman rho = 0.96, p = 0.0001; MAE = 2.14 kcal/mol; BSSE/def2-TZVP convergence verified); (5)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940cba4)</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p>
      <w:pPr>
        <w:spacing w:after="60"/>
        <w:ind w:left="576"/>
      </w:pPr>
      <w:r>
        <w:rPr>
          <w:b/>
        </w:rPr>
        <w:t xml:space="preserve">69. </w:t>
      </w:r>
      <w:r>
        <w:t xml:space="preserve">Neese, F. Software update: The ORCA program system—Version 5.0. WIREs Computational Molecular Science 2022, 12 (5). </w:t>
      </w:r>
      <w:r>
        <w:rPr>
          <w:i/>
          <w:color w:val="004D40"/>
          <w:sz w:val="18"/>
        </w:rPr>
        <w:t>doi:10.1002/wcms.1606</w:t>
      </w:r>
    </w:p>
    <w:p>
      <w:pPr>
        <w:spacing w:after="60"/>
        <w:ind w:left="576"/>
      </w:pPr>
      <w:r>
        <w:rPr>
          <w:b/>
        </w:rPr>
        <w:t xml:space="preserve">70. </w:t>
      </w:r>
      <w:r>
        <w:t xml:space="preserve">Becke, A. D. Density-functional thermochemistry. III. The role of exact exchange. The Journal of Chemical Physics 1993, 98 (7), 5648-5652. </w:t>
      </w:r>
      <w:r>
        <w:rPr>
          <w:i/>
          <w:color w:val="004D40"/>
          <w:sz w:val="18"/>
        </w:rPr>
        <w:t>doi:10.1063/1.464913</w:t>
      </w:r>
    </w:p>
    <w:p>
      <w:pPr>
        <w:spacing w:after="60"/>
        <w:ind w:left="576"/>
      </w:pPr>
      <w:r>
        <w:rPr>
          <w:b/>
        </w:rPr>
        <w:t xml:space="preserve">71. </w:t>
      </w:r>
      <w:r>
        <w:t xml:space="preserve">Grimme, S.; Ehrlich, S.; Goerigk, L. Effect of the damping function in dispersion corrected density functional theory. Journal of Computational Chemistry 2011, 32 (7), 1456-1465. </w:t>
      </w:r>
      <w:r>
        <w:rPr>
          <w:i/>
          <w:color w:val="004D40"/>
          <w:sz w:val="18"/>
        </w:rPr>
        <w:t>doi:10.1002/jcc.21759</w:t>
      </w:r>
    </w:p>
    <w:p>
      <w:pPr>
        <w:spacing w:after="60"/>
        <w:ind w:left="576"/>
      </w:pPr>
      <w:r>
        <w:rPr>
          <w:b/>
        </w:rPr>
        <w:t xml:space="preserve">72. </w:t>
      </w:r>
      <w:r>
        <w:t xml:space="preserve">Weigend, F.; Ahlrichs, R. Balanced basis sets of split valence, triple zeta valence and quadruple zeta valence quality for H to Rn: Design and assessment of accuracy. Physical Chemistry Chemical Physics 2005, 7 (18), 3297. </w:t>
      </w:r>
      <w:r>
        <w:rPr>
          <w:i/>
          <w:color w:val="004D40"/>
          <w:sz w:val="18"/>
        </w:rPr>
        <w:t>doi:10.1039/b508541a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