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Across a curated cohort of N=33 diverse oncology therapeutics, Switch II pocket docking revealed stratified affinity profiles (Group A median -7.68 kcal/mol; Group B median -5.86 kcal/mol; Group C median -7.82 kcal/mol; Group D median -6.84 kcal/mol; omnibus Kruskal-Wallis H = 5.763, p = 0.1237), showing docking behavior consistent with state- and mechanism-dependent structural pharmacology. Standardized GFN2-xTB tight-binding quantum calculations across the finite 48-atom C21N21H6 planar cluster model yielded favorable intermolecular interaction energies (Delta_E_int,std = -4.98 to -39.17 kcal/mol on pristine and -6.96 to -39.89 kcal/mol on B/P substituted templates), governed by pi-pi stacking and localized interfacial charge transfer.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achieved robust out-of-fold predictive accuracy (Q²_CV = +0.5696, RMSE = 5.201 kcal/mol, MAE = 4.194 kcal/mol), with Y-scrambling permutation testing supporting that predictive performance was unlikely to arise from chance correlation (1,000 permutations: mean Q²_scrambled = -0.2357, empirical p = 0.001). Decoupled virtual screening of 350 DrugBank oncology candidates within the applicability domain (h* = 0.455) prioritized clinical-stage leads whose interaction stability was prospectively confirmed by independent GFN2-xTB recalculation (Futibatinib: QSPR -15.98 vs QM -16.39 kcal/mol; Belumosudil: QSPR -15.34 vs QM -17.36 kcal/mol; Pimicotinib: QSPR -13.76 vs QM -14.99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validation against the 1.30 Å crystal structure of human KRAS-G12D (PDB: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fidelity (-9.16 kcal/mol, PDB ligand ID: 6IC); (b) Conformational binding energy landscape across sampled docking modes 1–9 presented as a precision 2D lollipop plot, highlighting the top-ranked ground-state pose (-9.16 kcal/mol) and the tight distribution of negative binding scores.</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6) [69-72]. Comparison with DFT reference calculations across eight representative systems (5-FU, Gemcitabine, Erlotinib, Selumetinib, MRTX1719, Futibatinib, MRTX1133, Methotrexate) demonstrated strong rank preservation (Figure 6a,c;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6d;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6: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25a5d0272016d423205075d11ac1bedb6b99c702)</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