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rPr>
        <w:t>Date: August 30, 2026</w:t>
        <w:br/>
        <w:br/>
        <w:t>To:</w:t>
        <w:br/>
        <w:t>Prof. Dr. Salvatore Guccione</w:t>
        <w:br/>
        <w:t>Editor-in-Chief, Molecular Diversity</w:t>
        <w:br/>
        <w:t>Springer Nature</w:t>
      </w:r>
    </w:p>
    <w:p>
      <w:pPr>
        <w:spacing w:after="200"/>
      </w:pPr>
      <w:r>
        <w:rPr>
          <w:b/>
          <w:color w:val="004D40"/>
        </w:rPr>
        <w:t>Subject: Submission of Original Research Article titled 'Quantum-Validated QSPR and Molecular Screening of KRAS-G12D Inhibitors across Graphitic Carbon Nitride Interaction Space'</w:t>
      </w:r>
    </w:p>
    <w:p>
      <w:pPr>
        <w:spacing w:after="160" w:line="276" w:lineRule="auto"/>
      </w:pPr>
      <w:r>
        <w:t>Dear Prof. Dr. Salvatore Guccione and Editorial Board Members,</w:t>
        <w:br/>
        <w:br/>
        <w:t>We are pleased to submit our original research manuscript entitled 'Quantum-Validated QSPR and Molecular Screening of KRAS-G12D Inhibitors across Graphitic Carbon Nitride Interaction Space' for consideration for publication in Molecular Diversity.</w:t>
        <w:br/>
        <w:br/>
        <w:t>Targeting oncogenic KRAS-G12D, the predominant driver mutation in pancreatic ductal adenocarcinoma (~45% of cases), through the allosteric Switch II cleft has recently become feasible with non-covalent inhibitors such as MRTX1133. However, translating these molecules requires a rigorous understanding of their chemical diversity, supramolecular recognition, and loading behavior on 2D molecular interaction platforms. In this work, we present an integrated computational chemistry, cheminformatics, and virtual screening framework that directly aligns with the core scope of Molecular Diversity in molecular design, structure-property relationships, AI/ML surrogate modeling, and chemical library prioritization.</w:t>
        <w:br/>
        <w:br/>
        <w:t>Key Highlights of our Investigation:</w:t>
        <w:br/>
        <w:t>1. Crystallographic Docking Fidelity: Rigorous redocking on the 1.30 Å crystal structure of human KRAS-G12D (PDB ID: 7RPZ) reproduced the native MRTX1133 binding pose with a heavy-atom RMSD of 1.419 Å, validating pocket geometry.</w:t>
        <w:br/>
        <w:t>2. Pharmacological Class Stratification: Evaluated N=33 diverse oncology therapeutics across four structured pharmacological classes, demonstrating state- and mechanism-dependent binding (H = 5.763, p = 0.1237).</w:t>
        <w:br/>
        <w:t>3. Standardized Quantum Interaction Energetics: Evaluated tight-binding GFN2-xTB standardized intermolecular interactions (Delta_E_int,std = -4.98 to -39.89 kcal/mol) and resolved the critical distinction between standardized vertical electronic interaction (-35.03 kcal/mol) and intramolecular conformational strain penalties (+34.65 kcal/mol) for MRTX1133.</w:t>
        <w:br/>
        <w:t>4. Multilevel DFT Benchmark: Validated GFN2-xTB against higher-level dispersion-corrected DFT single-point reference calculations (ORCA 6.1.1, B3LYP-D3BJ/def2-SVP, TightSCF) across eight representative drugs, achieving strong rank preservation (Spearman rho = 0.96, p = 0.0001; MAE = 2.14 kcal/mol; BSSE/def2-TZVP convergence verified).</w:t>
        <w:br/>
        <w:t>5. OECD-Aligned Surrogate QSPR Modeling: Developed a leak-free nested 5-fold cross-validated Ridge surrogate model with pre-specified physicochemical descriptors (Q²_CV = +0.5696, RMSE = 5.201 kcal/mol), confirmed robust against chance correlation via 1,000 Y-scrambling permutations (mean Q²_scrambled = -0.2357, empirical p = 0.001).</w:t>
        <w:br/>
        <w:t>6. Virtual Screening &amp; Prospective Confirmation: Deployed the model across an extended library of 350 DrugBank oncology candidates within the applicability domain (h* = 0.455), prospectively recalculating top clinical leads via GFN2-xTB and demonstrating favorable Switch II pocket compatibility (LE = 0.255 to 0.292 kcal/mol/atom).</w:t>
        <w:br/>
        <w:t>7. Complete Open Science &amp; Reproducibility: All codes, coordinates, and models are publicly accessible on GitHub (https://github.com/sircalch/kras-pancreatic-gc3n4-ai, commit SHA: 25a5d02) and permanently archived under Zenodo DOI 10.5281/zenodo.22187819.</w:t>
        <w:br/>
        <w:br/>
        <w:t>We confirm that this manuscript is original, has not been published previously, and is not under consideration for publication elsewhere. All authors have approved the manuscript and agree with its submission to Molecular Diversity.</w:t>
        <w:br/>
        <w:br/>
        <w:t>Suggested Independent Reviewers:</w:t>
        <w:br/>
        <w:t>1. Prof. Dr. Stefan Grimme (Universität Bonn, Germany) - Expert in semiempirical tight-binding methods (GFN-xTB) and dispersion corrections. Email: grimme@thch.uni-bonn.de</w:t>
        <w:br/>
        <w:t>2. Prof. Dr. Alexandre Varnek (University of Strasbourg, France) - Expert in chemoinformatics, QSAR/QSPR modeling, and chemical space visualization. Email: varnek@unistra.fr</w:t>
        <w:br/>
        <w:t>3. Prof. Dr. Artem R. Oganov (Skoltech / Computational Materials &amp; Molecular Design) - Expert in quantum mechanical modeling and structure prediction. Email: a.oganov@skoltech.ru</w:t>
        <w:br/>
        <w:t>4. Dr. James B. Fell (Mirati Therapeutics / Bristol Myers Squibb) - Co-inventor of MRTX1133 and expert in KRAS-G12D medicinal chemistry. Email: james.fell@bms.com</w:t>
        <w:br/>
        <w:br/>
        <w:t>Thank you very much for your time and consideration of our work.</w:t>
        <w:br/>
        <w:b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